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Holy Ghost descended at Pentecost.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CHRIST.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heard a voice out of the heaven saying, ‘Write,</w:t>
        <w:br w:type="textWrapping"/>
        <w:t xml:space="preserve">blessed are the dead who die in the Lord from henceforth.’</w:t>
        <w:br w:type="textWrapping"/>
        <w:t xml:space="preserve">‘Yea,’ said the Spirit, ‘that they may rest from their labours, for</w:t>
        <w:br w:type="textWrapping"/>
        <w:t xml:space="preserve">their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.’”</w:t>
        <w:br w:type="textWrapping"/>
        <w:br w:type="textWrapping"/>
        <w:tab/>
        <w:t xml:space="preserve">“Blessed are the dead who die in the Lord from</w:t>
        <w:br w:type="textWrapping"/>
        <w:t xml:space="preserve">henceforth.” So consolatory are these words, that</w:t>
        <w:br w:type="textWrapping"/>
        <w:t xml:space="preserve">there is a natural tendency to apply them to the</w:t>
        <w:br w:type="textWrapping"/>
        <w:t xml:space="preserve">saints of Christ who have fallen asleep in Him, ever</w:t>
        <w:br w:type="textWrapping"/>
        <w:t xml:space="preserve">since these words were penned. But that is not legiti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saying comes in chronologically: it follows</w:t>
        <w:br w:type="textWrapping"/>
        <w:t xml:space="preserve">the third angel’s message. It applies to the times</w:t>
        <w:br w:type="textWrapping"/>
        <w:t xml:space="preserve">when the Wild Beast is raging and destroying Christ’s</w:t>
        <w:br w:type="textWrapping"/>
        <w:t xml:space="preserve">people.</w:t>
        <w:br w:type="textWrapping"/>
        <w:tab/>
        <w:t xml:space="preserve">The expression “from henceforth,” is to be construed with “The dead who die in the Lord.”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Blessed</w:t>
        <w:br w:type="textWrapping"/>
        <w:t xml:space="preserve">are those who die in the Lord, after the persecution of</w:t>
        <w:br w:type="textWrapping"/>
        <w:t xml:space="preserve">Antichrist has begun. The dead are blessed in that</w:t>
        <w:br w:type="textWrapping"/>
        <w:t xml:space="preserve">day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conquerers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Wild Beast.</w:t>
        <w:br w:type="textWrapping"/>
        <w:tab/>
        <w:t xml:space="preserve">The blessed ones here spoken of seem to be the</w:t>
        <w:br w:type="textWrapping"/>
        <w:t xml:space="preserve">company for whose death the martyred ones of former</w:t>
        <w:br w:type="textWrapping"/>
        <w:t xml:space="preserve">ages were directed to wait. vi. 11. Then the full</w:t>
        <w:br w:type="textWrapping"/>
        <w:t xml:space="preserve">vengeance for blood shed was to descend. Accordingly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poured out in the seven bowls (vials).</w:t>
        <w:br w:type="textWrapping"/>
        <w:tab/>
        <w:t xml:space="preserve">What is the standing of those here described? It</w:t>
        <w:br w:type="textWrapping"/>
        <w:t xml:space="preserve">is not Jewish. They are “in the Lord,” as opposed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Adam,” or “in the flesh.” </w:t>
      </w:r>
      <w:sdt>
        <w:sdtPr>
          <w:id w:val="-198047383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Phil. 16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’Απάρτι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qualifies the word which it adjoins. Matt. xxvi. 29,</w:t>
        <w:br w:type="textWrapping"/>
        <w:t xml:space="preserve">64; John i. 52.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So in a similar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case. If a verb with </w:t>
      </w:r>
      <w:sdt>
        <w:sdtPr>
          <w:id w:val="986560084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νϋν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follows,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νϋν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and not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μακαριος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qualifies the verb. Luke vi. 21, 25; xvi.</w:t>
        <w:br w:type="textWrapping"/>
        <w:t xml:space="preserve">15. The contrary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seen 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i. 48. The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’απάρτι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qualifying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μακαριος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were out of place. Luke ii. 29; v. 10; xii. 52; 2 Cor.</w:t>
        <w:br w:type="textWrapping"/>
        <w:t xml:space="preserve">v. 16.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4-12-06T21:58:21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a upsilon with the accent matching the one used in the original.</w:t>
      </w:r>
    </w:p>
  </w:comment>
  <w:comment w:author="John Boughan" w:id="0" w:date="2025-07-01T18:14:29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likely Philemon, not Philippians.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5" w15:done="0"/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XskGYYDJSWZPdu2idM97heAiw==">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