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destruction. Orders regarding both these come forth</w:t>
        <w:br w:type="textWrapping"/>
        <w:t xml:space="preserve">from the palace of the Great King, the temple of the</w:t>
        <w:br w:type="textWrapping"/>
        <w:t xml:space="preserve">Most High God.</w:t>
        <w:br w:type="textWrapping"/>
        <w:tab/>
        <w:t xml:space="preserve">This angel has a sickle, a sharp sickle, to finish his</w:t>
        <w:br w:type="textWrapping"/>
        <w:t xml:space="preserve">work of judgment quickly.</w:t>
        <w:br w:type="textWrapping"/>
        <w:tab/>
        <w:t xml:space="preserve">But an objection may occur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“You say, that</w:t>
        <w:br w:type="textWrapping"/>
        <w:t xml:space="preserve">the grapes of the Vintage are the tares of the Saviour’s</w:t>
        <w:br w:type="textWrapping"/>
        <w:t xml:space="preserve">parable. Matt. xiii. But if these be the tares, they</w:t>
        <w:br w:type="textWrapping"/>
        <w:t xml:space="preserve">ought to be bound before the wheat is gathered in.</w:t>
        <w:br w:type="textWrapping"/>
        <w:t xml:space="preserve">‘Gather ye together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the tares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(30). The diffi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arises from a mistranslation.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should be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gather the tares,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bind them.” The words</w:t>
        <w:br w:type="textWrapping"/>
        <w:t xml:space="preserve">respect the order of the reapers’ actions with regard to</w:t>
        <w:br w:type="textWrapping"/>
        <w:t xml:space="preserve">the tares: not the order of collection, as between the</w:t>
        <w:br w:type="textWrapping"/>
        <w:t xml:space="preserve">tares and wheat. It is so also in 1 Thess. iv. 16, 17.</w:t>
        <w:br w:type="textWrapping"/>
        <w:t xml:space="preserve">“The dead in Christ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who are</w:t>
        <w:br w:type="textWrapping"/>
        <w:t xml:space="preserve">alive shall be caught up.” It is not designed to teach</w:t>
        <w:br w:type="textWrapping"/>
        <w:t xml:space="preserve">us that the dead in Christ shall rise before those who</w:t>
        <w:br w:type="textWrapping"/>
        <w:t xml:space="preserve">have died out of Christ, as it is generally taken: true</w:t>
        <w:br w:type="textWrapping"/>
        <w:t xml:space="preserve">though that be. But it defines the order of events in</w:t>
        <w:br w:type="textWrapping"/>
        <w:t xml:space="preserve">reference to the dead in Christ and the living in Christ</w:t>
        <w:br w:type="textWrapping"/>
        <w:t xml:space="preserve">respectively.</w:t>
        <w:br w:type="textWrapping"/>
        <w:tab/>
        <w:t xml:space="preserve">“Gather the clusters of the vine of the earth.”</w:t>
        <w:br w:type="textWrapping"/>
        <w:tab/>
        <w:t xml:space="preserve">What is “the vine of the earth”?</w:t>
        <w:br w:type="textWrapping"/>
        <w:tab/>
        <w:t xml:space="preserve">We can arrive at our conclusion best by considering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“the vine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Jesus speaks of</w:t>
        <w:br w:type="textWrapping"/>
        <w:t xml:space="preserve">Himself and His people as constituting the true vine,</w:t>
        <w:br w:type="textWrapping"/>
        <w:t xml:space="preserve">just when His hour of tribulation and Satan’s hour of</w:t>
        <w:br w:type="textWrapping"/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come. Here the vine of the earth is spoken</w:t>
        <w:br w:type="textWrapping"/>
        <w:t xml:space="preserve">of just after the False Christ has been shown, and when,</w:t>
        <w:br w:type="textWrapping"/>
        <w:t xml:space="preserve">at the close of his three years and a half of power, he</w:t>
        <w:br w:type="textWrapping"/>
        <w:t xml:space="preserve">is about to be cut down.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The difference of rendering turns on the distinction between</w:t>
        <w:br w:type="textWrapping"/>
      </w:r>
      <w:sdt>
        <w:sdtPr>
          <w:id w:val="184513221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πρωτον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πρωτος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Π</w:t>
      </w:r>
      <w:sdt>
        <w:sdtPr>
          <w:id w:val="-831028491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ρωτον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relates to the order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actions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and is</w:t>
        <w:br w:type="textWrapping"/>
        <w:t xml:space="preserve">followed by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είτα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και.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Πρωτος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refers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to the order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</w:t>
        <w:br w:type="textWrapping"/>
        <w:t xml:space="preserve">and is followed by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δεύτερος.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2-09T21:51:3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instances in this note, I could not get an omega with the correct accent mark. The same is true for both instances of iota in this note.</w:t>
      </w:r>
    </w:p>
  </w:comment>
  <w:comment w:author="John Boughan" w:id="1" w:date="2024-12-09T21:51:33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instances in this note, I could not get an omega with the correct accent mark. The same is true for both instances of iota in this note.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34NI/cObquaf/+zaejDpRo4gGw==">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