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wicked see it, and taunt him, as the graceless boys</w:t>
        <w:br w:type="textWrapping"/>
        <w:t xml:space="preserve">of Bethel taunted Elisha, after the ascent of his Master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Ascend, baldhead!”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After this parenthesis the history proceeds as before.</w:t>
        <w:br w:type="textWrapping"/>
        <w:t xml:space="preserve">It is designed to intimate to us that the miraculous</w:t>
        <w:br w:type="textWrapping"/>
        <w:t xml:space="preserve">rapture of God’s servants to Him will no more interrupt</w:t>
        <w:br w:type="textWrapping"/>
        <w:t xml:space="preserve">the world’s sinful ways than the strokes of judgment</w:t>
        <w:br w:type="textWrapping"/>
        <w:t xml:space="preserve">already delivered. The embassy of the three spirits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purpose. From east and from west, kings,</w:t>
        <w:br w:type="textWrapping"/>
        <w:t xml:space="preserve">nations, armies assemble. The very spot is indicated.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called in Hebrew, Armageddon.”</w:t>
        <w:br w:type="textWrapping"/>
        <w:tab/>
        <w:t xml:space="preserve">The word signifies “Mountain of Megiddo.”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points to the broad valley of Jezreel in the Holy Land,</w:t>
        <w:br w:type="textWrapping"/>
        <w:t xml:space="preserve">a spot in which so many battles have been fought in days</w:t>
        <w:br w:type="textWrapping"/>
        <w:t xml:space="preserve">past. There Barak fought against Sisera and Jabin.</w:t>
        <w:br w:type="textWrapping"/>
        <w:br w:type="textWrapping"/>
        <w:tab/>
        <w:t xml:space="preserve">17. “And the seventh poured out his bowl on the air; and a</w:t>
        <w:br w:type="textWrapping"/>
        <w:t xml:space="preserve">great voice went forth out of the temple of the heaven, saying, ‘It</w:t>
        <w:br w:type="textWrapping"/>
        <w:t xml:space="preserve">is done.’”</w:t>
        <w:br w:type="textWrapping"/>
        <w:br w:type="textWrapping"/>
        <w:tab/>
        <w:t xml:space="preserve">The consequences of this bowl, then, appear, first in</w:t>
        <w:br w:type="textWrapping"/>
        <w:t xml:space="preserve">heaven, then in air, then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arth. First, the voice from</w:t>
        <w:br w:type="textWrapping"/>
        <w:t xml:space="preserve">the throne; then, angelic voices; then in the air,</w:t>
        <w:br w:type="textWrapping"/>
        <w:t xml:space="preserve">thunders and lightnings; then the rocking of earth, and</w:t>
        <w:br w:type="textWrapping"/>
        <w:t xml:space="preserve">its consequences to the abodes of men.</w:t>
        <w:br w:type="textWrapping"/>
        <w:tab/>
        <w:t xml:space="preserve">The temple appears at the close of each series of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ab/>
        <w:t xml:space="preserve">1 Then the reproach was the nakedness of the head; at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time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nakedness is general, but figurative. To Elisha, too, was</w:t>
        <w:br w:type="textWrapping"/>
        <w:t xml:space="preserve">given another cloak.</w:t>
        <w:br w:type="textWrapping"/>
        <w:tab/>
        <w:t xml:space="preserve">2 That Armageddon should be translated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mountain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of</w:t>
        <w:br w:type="textWrapping"/>
        <w:t xml:space="preserve">Megiddo,” will appear satisfactorily to any one who will investigate</w:t>
        <w:br w:type="textWrapping"/>
        <w:t xml:space="preserve">the way in which the LXX represent the Hebrew characters in</w:t>
        <w:br w:type="textWrapping"/>
        <w:t xml:space="preserve">Greek. Thus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Haran” with the Hebrew “He” (Gen. xi. 26) is by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given as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Αρραν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(Arran).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Hara” (1 Chron. v. 26) with the</w:t>
        <w:br w:type="textWrapping"/>
        <w:t xml:space="preserve">Hebrew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He” is rendered in Greek characters by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Αρρα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(Arral in</w:t>
        <w:br w:type="textWrapping"/>
        <w:t xml:space="preserve">the Aldine and Complutensian editions).</w:t>
        <w:br w:type="textWrapping"/>
        <w:tab/>
        <w:t xml:space="preserve">Had the word begun instead with the Hebrew Heth, they would</w:t>
        <w:br w:type="textWrapping"/>
        <w:t xml:space="preserve">have represented it thus: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Χαρραν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(Gen. xi. 31) (Charran).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Χωρηβ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is the Heb.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vertAlign w:val="superscript"/>
          <w:rtl w:val="1"/>
        </w:rPr>
        <w:t xml:space="preserve">הרב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Exod. iii. 1.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zMBg4cwTI1EiuWqk1cIoddK/w==">CgMxLjA4AHIhMTJiazl0MkZpUzNTLWVhblpKOUNpdVh6Q2tWeUQ3Nlps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