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incurable worldliness: these ornaments are</w:t>
        <w:br w:type="textWrapping"/>
        <w:t xml:space="preserve">out of season in this present evil age. 1 Pet. iii. 3;</w:t>
        <w:br w:type="textWrapping"/>
        <w:t xml:space="preserve">1 Tim. ii. 9. Then is this evil woman the direct contrast</w:t>
        <w:br w:type="textWrapping"/>
        <w:t xml:space="preserve">of the picture drawn of a Christian.</w:t>
        <w:br w:type="textWrapping"/>
        <w:tab/>
        <w:t xml:space="preserve">This passage is remarkably illustrated by what occurs</w:t>
        <w:br w:type="textWrapping"/>
        <w:t xml:space="preserve">at the consecration of the Roman pontiff, as described</w:t>
        <w:br w:type="textWrapping"/>
        <w:t xml:space="preserve">by the official book. “The pontiff-elect is conducted</w:t>
        <w:br w:type="textWrapping"/>
        <w:t xml:space="preserve">to the sacrarium, and is divested of his ordinary attire,</w:t>
        <w:br w:type="textWrapping"/>
        <w:t xml:space="preserve">and clad in the papal robes.”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colour of these,” says</w:t>
        <w:br w:type="textWrapping"/>
        <w:t xml:space="preserve">Wordsworth, “is there minutely described; suffice it to</w:t>
        <w:br w:type="textWrapping"/>
        <w:t xml:space="preserve">say, that five different articles in which he is then</w:t>
        <w:br w:type="textWrapping"/>
        <w:t xml:space="preserve">arrayed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scarlet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Another vest is specified, and this</w:t>
        <w:br w:type="textWrapping"/>
        <w:t xml:space="preserve">is covered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mitre is then mentioned,</w:t>
        <w:br w:type="textWrapping"/>
        <w:t xml:space="preserve">and this is adorned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precious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“Having a golden cup in her hand, full of abominations, and the filthinesses of her fornication.”</w:t>
        <w:br w:type="textWrapping"/>
        <w:tab/>
        <w:t xml:space="preserve">She does not wear a crown, or wield a sceptre: her</w:t>
        <w:br w:type="textWrapping"/>
        <w:t xml:space="preserve">power is of influence alone. This cup is not a literal</w:t>
        <w:br w:type="textWrapping"/>
        <w:t xml:space="preserve">one. Rome is a mystic person: so is her cup. She</w:t>
        <w:br w:type="textWrapping"/>
        <w:t xml:space="preserve">carries no literal cup: nor would a literal cup spiritu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intoxicate the nations. Besides, its contents are</w:t>
        <w:br w:type="textWrapping"/>
        <w:t xml:space="preserve">discovered to us, and they are spiritual.</w:t>
        <w:br w:type="textWrapping"/>
        <w:tab/>
        <w:t xml:space="preserve">“The abominations and filthinesses are the shameful</w:t>
        <w:br w:type="textWrapping"/>
        <w:t xml:space="preserve">transactions of that artful policy by which Rome reduced the nations to a state of utter impotence.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Hengstenberg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 is very remarkable that the Pope has struck a</w:t>
        <w:br w:type="textWrapping"/>
        <w:t xml:space="preserve">medal, in which Rome is represented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motto, “She sits upon the</w:t>
        <w:br w:type="textWrapping"/>
        <w:t xml:space="preserve">universe.”</w:t>
        <w:br w:type="textWrapping"/>
        <w:tab/>
        <w:t xml:space="preserve">Elliott has given the plate of this. She holds the</w:t>
        <w:br w:type="textWrapping"/>
        <w:t xml:space="preserve">cup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God will give her the cup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Of ancient Babylon the Lord says:—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Babylon hath been a golden cup in the Lord’s hand,</w:t>
        <w:br w:type="textWrapping"/>
        <w:t xml:space="preserve">that made all the earth drunken: the nations have drunken</w:t>
        <w:br w:type="textWrapping"/>
        <w:t xml:space="preserve">of her wine; therefore the nations are mad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li. 7).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T4293o5nkViu66G15EGMrsy2Q==">CgMxLjA4AHIhMVcyTUpSVzY0TGVfenJOQ3BGY21ucElHaWFJOGFOanZ1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