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St. John, proclaimed Rome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seven-hilled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“On the imperial medals of that age which are</w:t>
        <w:br w:type="textWrapping"/>
        <w:t xml:space="preserve">still preserved, we see Rome figured as a woman on</w:t>
        <w:br w:type="textWrapping"/>
        <w:t xml:space="preserve">seven hills, precisely as she is represented in the Apocalypse.”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coin of Vespasian, described by Capt. Smyth</w:t>
        <w:br w:type="textWrapping"/>
        <w:t xml:space="preserve">(Roman Coins, p 310), represented “Rome seated on</w:t>
        <w:br w:type="textWrapping"/>
        <w:t xml:space="preserve">seven hills; at the base Romulus and Remus suckled</w:t>
        <w:br w:type="textWrapping"/>
        <w:t xml:space="preserve">by the wolf: in front, the Tiber personified”: pp.</w:t>
        <w:br w:type="textWrapping"/>
        <w:t xml:space="preserve">279, 280.</w:t>
        <w:br w:type="textWrapping"/>
        <w:tab/>
        <w:t xml:space="preserve">Horace says, “The gods, who look with favour 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seven hills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Tibullus—“Ye bulls, feed on herbage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seven</w:t>
        <w:br w:type="textWrapping"/>
        <w:t xml:space="preserve">hills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Propertius—“The lofty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city on seven peaks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rules the whole world.”</w:t>
        <w:br w:type="textWrapping"/>
        <w:tab/>
        <w:t xml:space="preserve">Ovid—“But Rome looks round on the whole globe</w:t>
        <w:br w:type="textWrapping"/>
        <w:t xml:space="preserve">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 seven mountains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seat of empire and abode</w:t>
        <w:br w:type="textWrapping"/>
        <w:t xml:space="preserve">of the gods.”</w:t>
        <w:br w:type="textWrapping"/>
        <w:tab/>
        <w:t xml:space="preserve">These will suffice as heathen testimonies.</w:t>
        <w:br w:type="textWrapping"/>
        <w:tab/>
        <w:t xml:space="preserve">The Fathers regarded Rome as Babylon. “When I</w:t>
        <w:br w:type="textWrapping"/>
        <w:t xml:space="preserve">dwelt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Babylon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Jerome says, “and resided within</w:t>
        <w:br w:type="textWrapping"/>
        <w:t xml:space="preserve">the walls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scarlet adulteress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had the freedom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 undertook a work concerning the Holy</w:t>
        <w:br w:type="textWrapping"/>
        <w:t xml:space="preserve">Spirit, which I proposed to inscribe to the Bishop of</w:t>
        <w:br w:type="textWrapping"/>
        <w:t xml:space="preserve">that city.”</w:t>
        <w:br w:type="textWrapping"/>
        <w:tab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Babylon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Augustine says,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a former Rome,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Rome a later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Babylon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earliest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commentaries on the Apocalypse consider Rome to be Babylon.</w:t>
        <w:br w:type="textWrapping"/>
        <w:tab/>
        <w:t xml:space="preserve">Many Romish writers of the first eminence admit</w:t>
        <w:br w:type="textWrapping"/>
        <w:t xml:space="preserve">the same interpretation; as Bellarmine, Baronius,</w:t>
        <w:br w:type="textWrapping"/>
        <w:t xml:space="preserve">Bossuet, Hug.</w:t>
        <w:br w:type="textWrapping"/>
        <w:tab/>
        <w:t xml:space="preserve">Bellarmine says,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Moreover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John in the Apocalypse</w:t>
        <w:br w:type="textWrapping"/>
        <w:t xml:space="preserve">everywhere calls Rome Babylon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Tertullian noticed,</w:t>
        <w:br w:type="textWrapping"/>
        <w:t xml:space="preserve">(against Marcion, book 3), and as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clearly to be inferred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ZW2NLHJaQzKRxH9RpAMLlcIVXQ==">CgMxLjA4AHIhMVpqRTlMSTZIUDJ2T3JIdDhxZjJtVVJqaE5mR3Ayc1JZ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