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second. It does not appear that Rome was ever preeminent in this particular crime.</w:t>
        <w:br w:type="textWrapping"/>
        <w:tab/>
        <w:t xml:space="preserve">She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slayer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“prophets.” This seems, with</w:t>
        <w:br w:type="textWrapping"/>
        <w:t xml:space="preserve">several other Scriptures, to foretell the restoration of</w:t>
        <w:br w:type="textWrapping"/>
        <w:t xml:space="preserve">the spirit of prophecy. And if prophets be raised</w:t>
        <w:br w:type="textWrapping"/>
        <w:t xml:space="preserve">anew, once more will men’s hands, whether in Rome</w:t>
        <w:br w:type="textWrapping"/>
        <w:t xml:space="preserve">or Babylon, be lifted to slay.</w:t>
        <w:br w:type="textWrapping"/>
        <w:tab/>
        <w:t xml:space="preserve">Lastly, the blood of all the slain on the earth is laid</w:t>
        <w:br w:type="textWrapping"/>
        <w:t xml:space="preserve">to her door. “The earth,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seem here to be</w:t>
        <w:br w:type="textWrapping"/>
        <w:t xml:space="preserve">limited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Roman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earth. These words seem to be</w:t>
        <w:br w:type="textWrapping"/>
        <w:t xml:space="preserve">the echo of Jer. 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47-49.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VSzhEbxOPnqrMG0UcmEwnxT+6Q==">CgMxLjA4AHIhMVJhZTh4eDlKSDRLZUdXNWdaMjBTazF1aGloenhMNEZ3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