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doing, you lose the special glory of the thousand years,</w:t>
        <w:br w:type="textWrapping"/>
        <w:t xml:space="preserve">and meet Christ’s face of displeasure. Surrender life,</w:t>
        <w:br w:type="textWrapping"/>
        <w:t xml:space="preserve">and a thousand years of joy and glory are provided by</w:t>
        <w:br w:type="textWrapping"/>
        <w:t xml:space="preserve">God to recompense that small loss endured for His</w:t>
        <w:br w:type="textWrapping"/>
        <w:t xml:space="preserve">sake.” “Faithful is the saying, for if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  <w:br w:type="textWrapping"/>
        <w:t xml:space="preserve">Him, we shall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Him. If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shall</w:t>
        <w:br w:type="textWrapping"/>
        <w:t xml:space="preserve">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reign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we deny Him, He also will deny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(2 Tim. ii. 11, 12). The “we” who suffer, are</w:t>
        <w:br w:type="textWrapping"/>
        <w:t xml:space="preserve">the “we” who reign. Real as the headsman’s axe</w:t>
        <w:br w:type="textWrapping"/>
        <w:t xml:space="preserve">now, so real the throne to the sufferer. Can the martyr</w:t>
        <w:br w:type="textWrapping"/>
        <w:t xml:space="preserve">be one party, and the reward be given to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never suffered, nor is to suffer?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that the act of “the</w:t>
        <w:br w:type="textWrapping"/>
        <w:t xml:space="preserve">righteous Judge?”</w:t>
        <w:br w:type="textWrapping"/>
        <w:tab/>
        <w:t xml:space="preserve">They not only lived, “they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reigned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These favoured ones “reign” with Christ. “Life”</w:t>
        <w:br w:type="textWrapping"/>
        <w:t xml:space="preserve">and a “kingdom”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no means necessarily connected.</w:t>
        <w:br w:type="textWrapping"/>
        <w:t xml:space="preserve">This, then, communicates to us the news of a fresh privilege. They not only live with Christ; with Him they</w:t>
        <w:br w:type="textWrapping"/>
        <w:t xml:space="preserve">reign. Their reign begins only after resurrection.</w:t>
        <w:br w:type="textWrapping"/>
        <w:t xml:space="preserve">The Creed of Pope Pius supposes that the saints reign</w:t>
        <w:br w:type="textWrapping"/>
        <w:t xml:space="preserve">with Christ as naked spirits.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Likewise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saints</w:t>
        <w:br w:type="textWrapping"/>
        <w:t xml:space="preserve">reigning together with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to be venerated and</w:t>
        <w:br w:type="textWrapping"/>
        <w:t xml:space="preserve">invoked” (7th Article).</w:t>
        <w:br w:type="textWrapping"/>
        <w:tab/>
        <w:t xml:space="preserve">At length they reign awhile: for a thousand years,</w:t>
        <w:br w:type="textWrapping"/>
        <w:t xml:space="preserve">while the earth lasts. Afterwards, when the earth is destroyed, they reign for ever and ever. xxii. 5. If the</w:t>
        <w:br w:type="textWrapping"/>
        <w:t xml:space="preserve">reign 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figurative, so is the reign there.</w:t>
        <w:br w:type="textWrapping"/>
        <w:tab/>
        <w:t xml:space="preserve">At this point most of the year-day interpreters are</w:t>
        <w:br w:type="textWrapping"/>
        <w:t xml:space="preserve">inconsistent.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if a day in prophecy signify a year,</w:t>
        <w:br w:type="textWrapping"/>
        <w:t xml:space="preserve">then the thousand years of bliss intend a period of</w:t>
        <w:br w:type="textWrapping"/>
        <w:t xml:space="preserve">365,000 years! Or if they affirm the thousand years</w:t>
        <w:br w:type="textWrapping"/>
        <w:t xml:space="preserve">to be only literal years, then we hold them to the</w:t>
        <w:br w:type="textWrapping"/>
        <w:t xml:space="preserve">inference that the thousand and odd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</w:t>
        <w:br w:type="textWrapping"/>
        <w:t xml:space="preserve">literal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follows, not only from the principle</w:t>
        <w:br w:type="textWrapping"/>
        <w:t xml:space="preserve">of consistency in computation, but also on the ground</w:t>
        <w:br w:type="textWrapping"/>
        <w:t xml:space="preserve">of equity. Can it be accordant with justice,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M/0DW8FvOk+1m+d3FSHcmbD4w==">CgMxLjA4AHIhMTNZNDBGOGdDamhYUlZBRjg2eXZZLU5pVXBsc2Y3OVVr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