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are those saints to be placed, who do not attain</w:t>
        <w:br w:type="textWrapping"/>
        <w:t xml:space="preserve">to the reward of the kingdom? This passage, I believe, informs us.</w:t>
        <w:br w:type="textWrapping"/>
        <w:tab/>
        <w:t xml:space="preserve">Here are unfolded God’s principles of judgment in</w:t>
        <w:br w:type="textWrapping"/>
        <w:t xml:space="preserve">reference to the citizens. The former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stated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unconditional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blessings enjoyed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dwellers on the</w:t>
        <w:br w:type="textWrapping"/>
        <w:t xml:space="preserve">new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Now we have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citizen’s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entrance into the new city of God.</w:t>
        <w:br w:type="textWrapping"/>
        <w:tab/>
        <w:t xml:space="preserve">The conqueror is to enjoy these things. The refer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primarily is to the saints of the Church, as the</w:t>
        <w:br w:type="textWrapping"/>
        <w:t xml:space="preserve">concluding words of each of the Seven Epistles to the</w:t>
        <w:br w:type="textWrapping"/>
        <w:t xml:space="preserve">Churches prove. ii., iii. But the reference seems to be</w:t>
        <w:br w:type="textWrapping"/>
        <w:t xml:space="preserve">not to them solely. There are those who fight against</w:t>
        <w:br w:type="textWrapping"/>
        <w:t xml:space="preserve">and overcome the Antichrist. There are also the saved</w:t>
        <w:br w:type="textWrapping"/>
        <w:t xml:space="preserve">under the Law.</w:t>
        <w:br w:type="textWrapping"/>
        <w:tab/>
        <w:t xml:space="preserve">And probably there may be two aspects of overcoming: overcoming so as to be rewarded, and then</w:t>
        <w:br w:type="textWrapping"/>
        <w:t xml:space="preserve">partaking in millennial glory; and overcoming as compared with the total unbelief of the worldly. “This</w:t>
        <w:br w:type="textWrapping"/>
        <w:t xml:space="preserve">is the victory which overcometh the world—even our</w:t>
        <w:br w:type="textWrapping"/>
        <w:t xml:space="preserve">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final entry into eternal life in the city</w:t>
        <w:br w:type="textWrapping"/>
        <w:t xml:space="preserve">of the risen.</w:t>
        <w:br w:type="textWrapping"/>
        <w:tab/>
        <w:t xml:space="preserve">The nations outside are not conquerors. They were</w:t>
        <w:br w:type="textWrapping"/>
        <w:t xml:space="preserve">never called to wrestle, as we are, with the world and</w:t>
        <w:br w:type="textWrapping"/>
        <w:t xml:space="preserve">Satan. They lived in millennial joy.</w:t>
        <w:br w:type="textWrapping"/>
        <w:tab/>
        <w:t xml:space="preserve">The conqueror shall “inherit” these things.</w:t>
        <w:br w:type="textWrapping"/>
        <w:tab/>
        <w:t xml:space="preserve">We mean by “inherit” something different from that</w:t>
        <w:br w:type="textWrapping"/>
        <w:t xml:space="preserve">which the Hebrew and the Greek of the New Testa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intend. It does not mean to have a claim to an</w:t>
        <w:br w:type="textWrapping"/>
        <w:t xml:space="preserve">estate by virtue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means only “to obtain a</w:t>
        <w:br w:type="textWrapping"/>
        <w:t xml:space="preserve">lot,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portion”; as the next verse shows.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cowardly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have their 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lake.”</w:t>
        <w:br w:type="textWrapping"/>
        <w:tab/>
        <w:t xml:space="preserve">“And I will be his God, and he shall be My son.”</w:t>
        <w:br w:type="textWrapping"/>
        <w:tab/>
        <w:t xml:space="preserve">This sentiment resembles greatly that expressed</w:t>
        <w:br w:type="textWrapping"/>
        <w:t xml:space="preserve">above (in verse 8) concerning the men of the new</w:t>
        <w:br w:type="textWrapping"/>
        <w:t xml:space="preserve">earth in general. But more closely examined,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vA6l3AsM9UqFkOPLnQcLv4JuSQ==">CgMxLjA4AHIhMW5nTXdSM1RXazJBdTdjYjc5UW42amtLaUQ0ZDdJSzhz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