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these classes are to find their eternal inheritance</w:t>
        <w:br w:type="textWrapping"/>
        <w:t xml:space="preserve">in the lake of fire and brimstone. The theory of the</w:t>
        <w:br w:type="textWrapping"/>
        <w:t xml:space="preserve">final salvation of man and devils finds no place in</w:t>
        <w:br w:type="textWrapping"/>
        <w:t xml:space="preserve">Scripture. Damnation, as well as salvation, is part of</w:t>
        <w:br w:type="textWrapping"/>
        <w:t xml:space="preserve">the Gospel message. It says not that the wicked are to</w:t>
        <w:br w:type="textWrapping"/>
        <w:t xml:space="preserve">suffer a thousand years, and after that to be brought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purified. The door shuts on a view of their sin</w:t>
        <w:br w:type="textWrapping"/>
        <w:t xml:space="preserve">and their endless punishment, after the new heavens</w:t>
        <w:br w:type="textWrapping"/>
        <w:t xml:space="preserve">and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presented to us.</w:t>
        <w:br w:type="textWrapping"/>
        <w:tab/>
        <w:t xml:space="preserve">The place of final punishment is not a prison, but a</w:t>
        <w:br w:type="textWrapping"/>
        <w:t xml:space="preserve">lake. This is not according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human ideas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the</w:t>
        <w:br w:type="textWrapping"/>
        <w:t xml:space="preserve">awful contrast to the portion of the blest.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ire stands</w:t>
        <w:br w:type="textWrapping"/>
        <w:t xml:space="preserve">opposed to water; a pool to a fountain, life to death.</w:t>
        <w:br w:type="textWrapping"/>
        <w:t xml:space="preserve">The one quenches the thirst: the other heats it to</w:t>
        <w:br w:type="textWrapping"/>
        <w:t xml:space="preserve">intolerable fury. The rich man, as a separate spirit,</w:t>
        <w:br w:type="textWrapping"/>
        <w:t xml:space="preserve">asked a drop of water to cool his tongue. His thirst</w:t>
        <w:br w:type="textWrapping"/>
        <w:t xml:space="preserve">and anguish will be increased, when his body is resumed at the judgment day.</w:t>
        <w:br w:type="textWrapping"/>
        <w:tab/>
        <w:t xml:space="preserve">The Dead Sea, memorial of Sodom’s sin and punish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stood within view of God’s chosen city. So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fire seems to form part of the new earth. As,</w:t>
        <w:br w:type="textWrapping"/>
        <w:t xml:space="preserve">when Sodom was swallowed up, the Dead Sea arose;</w:t>
        <w:br w:type="textWrapping"/>
        <w:t xml:space="preserve">so when Babylon is swallowed up, the Lake of Death</w:t>
        <w:br w:type="textWrapping"/>
        <w:t xml:space="preserve">appears.</w:t>
        <w:br w:type="textWrapping"/>
        <w:tab/>
        <w:t xml:space="preserve">It is a place of “brimstone” as well as fire. How</w:t>
        <w:br w:type="textWrapping"/>
        <w:t xml:space="preserve">suffocating the fumes of sulphur! Always to be stifled</w:t>
        <w:br w:type="textWrapping"/>
        <w:t xml:space="preserve">in such an atmosphere, how terrible!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the Second Death.” To the saved no more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lost no more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abode is not</w:t>
        <w:br w:type="textWrapping"/>
        <w:t xml:space="preserve">the “Shadow of Death,” but </w:t>
      </w:r>
      <w:sdt>
        <w:sdtPr>
          <w:id w:val="1410082625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now the Second Death</w:t>
        <w:br w:type="textWrapping"/>
        <w:t xml:space="preserve">in its full reality.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2-12T23:19:0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open quote is in the original, not an apostrophe.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jsYub0I2iIuLGkgW2aIKnp7m5A==">CgMxLjAaJwoBMBIiCiAIBCocCgtBQUFCZF9xRU5yVRAIGgtBQUFCZF9xRU5yVSLzAgoLQUFBQmRfcUVOclUSwQIKC0FBQUJkX3FFTnJVEgtBQUFCZF9xRU5yVRpDCgl0ZXh0L2h0bWwSNlRoaXMgb3BlbiBxdW90ZSBpcyBpbiB0aGUgb3JpZ2luYWwsIG5vdCBhbiBhcG9zdHJvcGhlLiJECgp0ZXh0L3BsYWluEjZUaGlzIG9wZW4gcXVvdGUgaXMgaW4gdGhlIG9yaWdpbmFsLCBub3QgYW4gYXBvc3Ryb3BoZS4qGyIVMTA4MzEwMDY1MTM5NzM4MTExOTA5KAA4ADCa79XjzzI4mu/V488yShEKCnRleHQvcGxhaW4SA+KAmFoMYWZieTl3ZWpzNXB2cgIgAHgAmgEGCAAQABgAqgE4EjZUaGlzIG9wZW4gcXVvdGUgaXMgaW4gdGhlIG9yaWdpbmFsLCBub3QgYW4gYXBvc3Ryb3BoZS6wAQC4AQAYmu/V488yIJrv1ePPMjAAQhBraXguanBwYWQwZDMzdXA4OAByITFPcXZQLWVYT0Naa04walNtdTBIbFp0UnpaUDJqZ2c0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