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world and city seems absurd; but that is only</w:t>
        <w:br w:type="textWrapping"/>
        <w:t xml:space="preserve">because they have so long left out of sight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rrection of the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—that cardinal and peculiar doctrine</w:t>
        <w:br w:type="textWrapping"/>
        <w:t xml:space="preserve">of Christianity. Philosophers could dispute about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immortality of the soul;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Jesus, by His resurrection, brought to light the final incorruptibility</w:t>
        <w:br w:type="textWrapping"/>
        <w:t xml:space="preserve">of the body.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Another question of much interest may here be</w:t>
        <w:br w:type="textWrapping"/>
        <w:t xml:space="preserve">noticed.</w:t>
        <w:br w:type="textWrapping"/>
        <w:tab/>
        <w:t xml:space="preserve">In the ideas of many, the description of the New</w:t>
        <w:br w:type="textWrapping"/>
        <w:t xml:space="preserve">Jerusalem which follows is millennial. For myself,</w:t>
        <w:br w:type="textWrapping"/>
        <w:t xml:space="preserve">I am persuaded that we have in the verses which</w:t>
        <w:br w:type="textWrapping"/>
        <w:t xml:space="preserve">follow an account of the eternal relations of the city</w:t>
        <w:br w:type="textWrapping"/>
        <w:t xml:space="preserve">of God. I will therefore briefly consider the question:—</w:t>
        <w:br w:type="textWrapping"/>
        <w:tab/>
        <w:t xml:space="preserve">1. That the eternal standing of the city is in ques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 gather from xxii. 3, “There shall be no more</w:t>
        <w:br w:type="textWrapping"/>
        <w:t xml:space="preserve">curse.” Now at the close of the millennium comes the</w:t>
        <w:br w:type="textWrapping"/>
        <w:t xml:space="preserve">most fearful sin and wrath of God, with the Second</w:t>
        <w:br w:type="textWrapping"/>
        <w:t xml:space="preserve">Death.</w:t>
        <w:br w:type="textWrapping"/>
        <w:tab/>
        <w:t xml:space="preserve">2. I infer the same conclusion from xxi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24-26.</w:t>
        <w:br w:type="textWrapping"/>
        <w:t xml:space="preserve">“The kings [and the nations] bring their glory into</w:t>
        <w:br w:type="textWrapping"/>
        <w:t xml:space="preserve">it.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Accordingly, the gates are allowed to stand open</w:t>
        <w:br w:type="textWrapping"/>
        <w:t xml:space="preserve">all day to permit their entrance. But none are allowed</w:t>
        <w:br w:type="textWrapping"/>
        <w:t xml:space="preserve">to go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save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those written in the Lamb’s book of life.</w:t>
        <w:br w:type="textWrapping"/>
        <w:t xml:space="preserve">Now entrance into the heavenly city would not be</w:t>
        <w:br w:type="textWrapping"/>
        <w:t xml:space="preserve">possible during the millennium: for then the city is</w:t>
        <w:br w:type="textWrapping"/>
        <w:t xml:space="preserve">only suspended over the earth: it does not come down</w:t>
        <w:br w:type="textWrapping"/>
        <w:t xml:space="preserve">upon it. To meet this difficulty the holders of the</w:t>
        <w:br w:type="textWrapping"/>
        <w:t xml:space="preserve">opposite view translate verses 24 and 26—“bring their</w:t>
        <w:br w:type="textWrapping"/>
        <w:t xml:space="preserve">glory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it,” not “into it.”</w:t>
        <w:br w:type="textWrapping"/>
        <w:br w:type="textWrapping"/>
        <w:tab/>
        <w:t xml:space="preserve">To this I make two replies:—</w:t>
        <w:br w:type="textWrapping"/>
        <w:br w:type="textWrapping"/>
        <w:tab/>
        <w:t xml:space="preserve">1. Who are the kings of the earth during the millennium? They are the sons of God risen from the</w:t>
        <w:br w:type="textWrapping"/>
        <w:t xml:space="preserve">dead. Do they, then, go no further than the gates of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JWo5y9bPUHlrDnkOQxvdocziig==">CgMxLjA4AHIhMV81akl0WV94NVo0ZGV4YkNleG9laU10MUlwdWRyVmRu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