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luminaries, as of old—the one ruler of the day, the</w:t>
        <w:br w:type="textWrapping"/>
        <w:t xml:space="preserve">other of the night. The earth is mainly dependent on</w:t>
        <w:br w:type="textWrapping"/>
        <w:t xml:space="preserve">them for the supply of light;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indepen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both.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hath no need of the sun, nor</w:t>
        <w:br w:type="textWrapping"/>
        <w:t xml:space="preserve">of the moon, that they should shine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has</w:t>
        <w:br w:type="textWrapping"/>
        <w:t xml:space="preserve">two sources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illumination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glory of God, and the</w:t>
        <w:br w:type="textWrapping"/>
        <w:t xml:space="preserve">Lamb’s light.</w:t>
        <w:br w:type="textWrapping"/>
        <w:tab/>
        <w:t xml:space="preserve">“And its lamp is the Lamb.”</w:t>
        <w:br w:type="textWrapping"/>
        <w:tab/>
        <w:t xml:space="preserve">Jesus appears not now as King of kings—such as He</w:t>
        <w:br w:type="textWrapping"/>
        <w:t xml:space="preserve">was exhibited in chapter xx.—but as the object of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giver of light. Jesus, at His appearing on</w:t>
        <w:br w:type="textWrapping"/>
        <w:t xml:space="preserve">the old earth, was the giver of moral light to the world.</w:t>
        <w:br w:type="textWrapping"/>
        <w:t xml:space="preserve">John i. 5-9; viii. 12; ix. 5. Now from His blessed</w:t>
        <w:br w:type="textWrapping"/>
        <w:t xml:space="preserve">person stream rays of perpetual day to the dwellers in</w:t>
        <w:br w:type="textWrapping"/>
        <w:t xml:space="preserve">the city. On the top of the Mount of Transfiguration</w:t>
        <w:br w:type="textWrapping"/>
        <w:t xml:space="preserve">His face shone awhile as the sun; but now His glory</w:t>
        <w:br w:type="textWrapping"/>
        <w:t xml:space="preserve">abides.</w:t>
        <w:br w:type="textWrapping"/>
        <w:tab/>
        <w:t xml:space="preserve">In the Holiest of the heavenly temple the Holy</w:t>
        <w:br w:type="textWrapping"/>
        <w:t xml:space="preserve">Spirit was the lamp. “There were seven torches of</w:t>
        <w:br w:type="textWrapping"/>
        <w:t xml:space="preserve">fire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throne, which are the seven</w:t>
        <w:br w:type="textWrapping"/>
        <w:t xml:space="preserve">Spirits of God” (iv. 5). This renders the absence of</w:t>
        <w:br w:type="textWrapping"/>
        <w:t xml:space="preserve">any notice of the Sacred Spirit, in the description of</w:t>
        <w:br w:type="textWrapping"/>
        <w:t xml:space="preserve">the eternal city, the more remarkable.</w:t>
        <w:br w:type="textWrapping"/>
        <w:tab/>
        <w:t xml:space="preserve">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spoken of, Jesus is twice named</w:t>
        <w:br w:type="textWrapping"/>
        <w:t xml:space="preserve">separately from the Father; but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revealed to us, the Father and Son are exhibited in</w:t>
        <w:br w:type="textWrapping"/>
        <w:t xml:space="preserve">union: the throne is that of “God and the Lamb.”</w:t>
        <w:br w:type="textWrapping"/>
        <w:tab/>
        <w:t xml:space="preserve">“And the nations shall walk by means of her light.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reading, “the nations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them that are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</w:t>
        <w:br w:type="textWrapping"/>
        <w:t xml:space="preserve">not genuine. It arose from erroneously regarding all</w:t>
        <w:br w:type="textWrapping"/>
        <w:t xml:space="preserve">the saved as consisting of but one body—instead of</w:t>
        <w:br w:type="textWrapping"/>
        <w:t xml:space="preserve">perceiving that the nations are one mass, the citizens</w:t>
        <w:br w:type="textWrapping"/>
        <w:t xml:space="preserve">another: and these words, once introduced, have kept</w:t>
        <w:br w:type="textWrapping"/>
        <w:t xml:space="preserve">up the error.</w:t>
        <w:br w:type="textWrapping"/>
        <w:tab/>
        <w:t xml:space="preserve">This twofold division of mankind obtains throughout</w:t>
        <w:br w:type="textWrapping"/>
        <w:t xml:space="preserve">eternity. There are “the nations” still on the new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gm6hOFnQ+9u9foxQko/bILBFw==">CgMxLjA4AHIhMXNjbWFGSm96YVVMYVl6OEFvcngyOUVJY2JHc29BcDdM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