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rest of his subjects came into view. In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Solomon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disappear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It is said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servants” shall serve. Why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Because the unity of the Godhead</w:t>
        <w:br w:type="textWrapping"/>
        <w:t xml:space="preserve">will ever abide. God and the Lamb are one God. “I</w:t>
        <w:br w:type="textWrapping"/>
        <w:t xml:space="preserve">and the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They “shall serve Him.”</w:t>
        <w:br w:type="textWrapping"/>
        <w:tab/>
        <w:t xml:space="preserve">Heaven, or the final state, is not one of idleness, but</w:t>
        <w:br w:type="textWrapping"/>
        <w:t xml:space="preserve">of service to God. The word used signifies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priestly</w:t>
        <w:br w:type="textWrapping"/>
        <w:t xml:space="preserve">service”: no servile work is theirs.</w:t>
        <w:br w:type="textWrapping"/>
        <w:tab/>
        <w:t xml:space="preserve">“And they shall see His face.”</w:t>
        <w:br w:type="textWrapping"/>
        <w:tab/>
        <w:t xml:space="preserve">This among earthly sovereigns is the privilege of</w:t>
        <w:br w:type="textWrapping"/>
        <w:t xml:space="preserve">courtiers and ministers of the palace; not of the king’s</w:t>
        <w:br w:type="textWrapping"/>
        <w:t xml:space="preserve">subjects in general.</w:t>
        <w:br w:type="textWrapping"/>
        <w:tab/>
        <w:t xml:space="preserve">God at length discovers Himself to His subject-kings,</w:t>
        <w:br w:type="textWrapping"/>
        <w:t xml:space="preserve">as the King of kings. He allows Himself to be seen</w:t>
        <w:br w:type="textWrapping"/>
        <w:t xml:space="preserve">as God, by His worshippers and priests.</w:t>
        <w:br w:type="textWrapping"/>
        <w:tab/>
        <w:t xml:space="preserve">At last the “beatific vision” is granted. We are</w:t>
        <w:br w:type="textWrapping"/>
        <w:t xml:space="preserve">equal unto the angels; even the most favoured of them.</w:t>
        <w:br w:type="textWrapping"/>
        <w:t xml:space="preserve">For not to all of those servants of God is it given: but</w:t>
        <w:br w:type="textWrapping"/>
        <w:t xml:space="preserve">of those who act as guardian-angels of the elect, Jesus</w:t>
        <w:br w:type="textWrapping"/>
        <w:t xml:space="preserve">tells us, “That in heaven these angels do always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</w:t>
        <w:br w:type="textWrapping"/>
        <w:t xml:space="preserve">the 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my Father which is in heaven” (Matt. xviii.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10).</w:t>
        <w:br w:type="textWrapping"/>
        <w:tab/>
        <w:t xml:space="preserve">“And His name shall be on their foreheads.”</w:t>
        <w:br w:type="textWrapping"/>
        <w:tab/>
        <w:t xml:space="preserve">A hundred and forty-four thousand have the name</w:t>
        <w:br w:type="textWrapping"/>
        <w:t xml:space="preserve">of God and of the Lamb written on their foreheads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millennium begins, and as the sign of a peculiar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xiv. For to them it is given to follow the Lamb</w:t>
        <w:br w:type="textWrapping"/>
        <w:t xml:space="preserve">in His progress from part to part of His dominions.</w:t>
        <w:br w:type="textWrapping"/>
        <w:t xml:space="preserve">But now that special mark seems to be imparted to all</w:t>
        <w:br w:type="textWrapping"/>
        <w:t xml:space="preserve">the dwellers in the city: and we read no more of the</w:t>
        <w:br w:type="textWrapping"/>
        <w:t xml:space="preserve">Saviour’s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movings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and fro.</w:t>
        <w:br w:type="textWrapping"/>
        <w:tab/>
        <w:t xml:space="preserve">“And there shall be no more night.”</w:t>
        <w:br w:type="textWrapping"/>
        <w:tab/>
        <w:t xml:space="preserve">The citizens need no sleep, and therefore they have</w:t>
        <w:br w:type="textWrapping"/>
        <w:t xml:space="preserve">no night. Herein this Paradise of God stands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xRpklWF8LguutMBXJr5VSelhsw==">CgMxLjA4AHIhMVNZbzE3M1VESmJKYjlpdERQLWoySU9ScWxyUlZ0bFRT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