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affections of the spouse after Him. But both</w:t>
        <w:br w:type="textWrapping"/>
        <w:t xml:space="preserve">Jesus’ titles are taken from the Old Testament.</w:t>
        <w:br w:type="textWrapping"/>
        <w:tab/>
        <w:t xml:space="preserve">Before (i. 1), this book was spoken of as given to</w:t>
        <w:br w:type="textWrapping"/>
        <w:t xml:space="preserve">“the servants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now, to “the churches.”</w:t>
        <w:br w:type="textWrapping"/>
        <w:t xml:space="preserve">The churches are a far narrower class than “the servants of God.” But the book was at first sent only to</w:t>
        <w:br w:type="textWrapping"/>
        <w:t xml:space="preserve">“the churches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Israel in that day was only the</w:t>
        <w:br w:type="textWrapping"/>
        <w:t xml:space="preserve">unbelieving shadow of its former self. Till the churches</w:t>
        <w:br w:type="textWrapping"/>
        <w:t xml:space="preserve">are removed, there are none but those bodies to listen</w:t>
        <w:br w:type="textWrapping"/>
        <w:t xml:space="preserve">to God’s testimony.</w:t>
        <w:br w:type="textWrapping"/>
        <w:tab/>
        <w:t xml:space="preserve">Jesus takes two titles in relation to David. He is</w:t>
        <w:br w:type="textWrapping"/>
        <w:t xml:space="preserve">“the offspring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king of Israel: He was a man</w:t>
        <w:br w:type="textWrapping"/>
        <w:t xml:space="preserve">of David’s race. This is God’s testimony against the</w:t>
        <w:br w:type="textWrapping"/>
        <w:t xml:space="preserve">Gnostic deceit, that the Christ was not born, but a</w:t>
        <w:br w:type="textWrapping"/>
        <w:t xml:space="preserve">spirit that 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His baptism. It is</w:t>
        <w:br w:type="textWrapping"/>
        <w:t xml:space="preserve">God’s witness against the Swedenborgians, who hold</w:t>
        <w:br w:type="textWrapping"/>
        <w:t xml:space="preserve">that the Saviour after His resurrection has put off all</w:t>
        <w:br w:type="textWrapping"/>
        <w:t xml:space="preserve">that which He received from His mother Mary. This</w:t>
        <w:br w:type="textWrapping"/>
        <w:t xml:space="preserve">truth Timothy, who dwelt among Gnostics, was to</w:t>
        <w:br w:type="textWrapping"/>
        <w:t xml:space="preserve">affirm and to hold fast,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Remember that 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[not ‘Jesus’ alone] has been raised up from the dead,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seed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to my Gospel” (2 Tim.</w:t>
        <w:br w:type="textWrapping"/>
        <w:t xml:space="preserve">ii. 8; Rom.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Jesus is “the root of David.” Before David came</w:t>
        <w:br w:type="textWrapping"/>
        <w:t xml:space="preserve">into being, Jesus existed. John viii. 55-59. He</w:t>
        <w:br w:type="textWrapping"/>
        <w:t xml:space="preserve">is the Son of God, the Creator of David. Thus, and</w:t>
        <w:br w:type="textWrapping"/>
        <w:t xml:space="preserve">thus only, can we answer the sacred enigma which</w:t>
        <w:br w:type="textWrapping"/>
        <w:t xml:space="preserve">Jesus set before the unbelievers of Israel. Jews would</w:t>
        <w:br w:type="textWrapping"/>
        <w:t xml:space="preserve">admit that the Messiah was David’s son: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He also David’s Lord? Matt. xxii. 41-46.</w:t>
        <w:br w:type="textWrapping"/>
        <w:tab/>
        <w:t xml:space="preserve">He is “the bright and morning star.”</w:t>
        <w:br w:type="textWrapping"/>
        <w:tab/>
        <w:t xml:space="preserve">Our Lord takes three titles.</w:t>
        <w:br w:type="textWrapping"/>
        <w:tab/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promise uttered by Balaam. “There</w:t>
        <w:br w:type="textWrapping"/>
        <w:t xml:space="preserve">shall come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Jacob, and a sceptre shall rise</w:t>
        <w:br w:type="textWrapping"/>
        <w:t xml:space="preserve">out of 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(Num. xxiv. 17). He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star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8aoN2YUp+uNr3iLKkAyqrxmXg==">CgMxLjA4AHIhMVNpMXM4Rk1Bb1g1SGp6OXdCczhNNTZqRHFxUUhubXp6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