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appear, after the Church, as God’s witness, has ceased to</w:t>
        <w:br w:type="textWrapping"/>
        <w:t xml:space="preserve">be on the earth. But this closing verse, coming after</w:t>
        <w:br w:type="textWrapping"/>
        <w:t xml:space="preserve">the prophetic part of the book is ended, reverts to</w:t>
        <w:br w:type="textWrapping"/>
        <w:t xml:space="preserve">our present standing, and so for a moment the</w:t>
        <w:br w:type="textWrapping"/>
        <w:t xml:space="preserve">Holy Ghost uses an expression taught in Paul’s</w:t>
        <w:br w:type="textWrapping"/>
        <w:t xml:space="preserve">Epistles.</w:t>
        <w:br w:type="textWrapping"/>
        <w:tab/>
        <w:t xml:space="preserve">This call “Come!” is not, as many take it, the</w:t>
        <w:br w:type="textWrapping"/>
        <w:t xml:space="preserve">Holy Spirit’s cry to the sinner to come to Christ. It</w:t>
        <w:br w:type="textWrapping"/>
        <w:t xml:space="preserve">is the appeal of the Spirit and Bride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</w:t>
        <w:br w:type="textWrapping"/>
        <w:t xml:space="preserve">will come, “bright morning star,” and bring the day</w:t>
        <w:br w:type="textWrapping"/>
        <w:t xml:space="preserve">of joy.</w:t>
        <w:br w:type="textWrapping"/>
        <w:tab/>
        <w:t xml:space="preserve">“Let him that heareth say, Come!”</w:t>
        <w:br w:type="textWrapping"/>
        <w:tab/>
        <w:t xml:space="preserve">The believer is “he who heareth.” “He that hath</w:t>
        <w:br w:type="textWrapping"/>
        <w:t xml:space="preserve">an ear, let him hear” (xiii. 9). The believer alone</w:t>
        <w:br w:type="textWrapping"/>
        <w:t xml:space="preserve">desires the Lord’s coming. As the Lord addressed to</w:t>
        <w:br w:type="textWrapping"/>
        <w:t xml:space="preserve">the saints of the churches an individual call at the</w:t>
        <w:br w:type="textWrapping"/>
        <w:t xml:space="preserve">close of each epistle, so an individual response is required here.</w:t>
        <w:br w:type="textWrapping"/>
        <w:tab/>
        <w:t xml:space="preserve">This word to the hearer will remain in full force</w:t>
        <w:br w:type="textWrapping"/>
        <w:t xml:space="preserve">even after the watchful of the Church or the whole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borne away. Jesus’ coming is, to Israel as</w:t>
        <w:br w:type="textWrapping"/>
        <w:t xml:space="preserve">well as to ourselves, the great point of hope on which</w:t>
        <w:br w:type="textWrapping"/>
        <w:t xml:space="preserve">all their blessings hinge.</w:t>
        <w:br w:type="textWrapping"/>
        <w:tab/>
        <w:t xml:space="preserve">Thrice in the Epilogue does Jesus announce His</w:t>
        <w:br w:type="textWrapping"/>
        <w:t xml:space="preserve">return.</w:t>
        <w:br w:type="textWrapping"/>
        <w:tab/>
        <w:t xml:space="preserve">Three answers desirous of the Saviour’s coming are</w:t>
        <w:br w:type="textWrapping"/>
        <w:t xml:space="preserve">called forth.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that thirsteth, let him come!”</w:t>
        <w:br w:type="textWrapping"/>
        <w:tab/>
        <w:t xml:space="preserve">Here is an entire change in the reference of the</w:t>
        <w:br w:type="textWrapping"/>
        <w:t xml:space="preserve">word—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Come.” Before, the hearer was to desire</w:t>
        <w:br w:type="textWrapping"/>
        <w:t xml:space="preserve">another to come: now he is himself to move.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Who is to come? These are the words of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inviting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to come, while He is away. They</w:t>
        <w:br w:type="textWrapping"/>
        <w:t xml:space="preserve">must mean that the weary sinner is to come to Himself.</w:t>
        <w:br w:type="textWrapping"/>
        <w:t xml:space="preserve">And his thirst, if so, and the coming, must be spiritual;</w:t>
        <w:br w:type="textWrapping"/>
        <w:t xml:space="preserve">and the reference must be like those in the Gospel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I+yRyixqLhyGQqmPIQyeDxi+KQ==">CgMxLjA4AHIhMVIySERsTHBaTllvNWtkTTZTeWZtQjBPckR1elJPbHFn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