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Matthew—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all ye that labour and are</w:t>
        <w:br w:type="textWrapping"/>
        <w:t xml:space="preserve">heavy laden, and I will give you rest.”</w:t>
        <w:br w:type="textWrapping"/>
        <w:tab/>
        <w:t xml:space="preserve">“He that wisheth, let him take the water of life</w:t>
        <w:br w:type="textWrapping"/>
        <w:t xml:space="preserve">without cost.</w:t>
      </w:r>
      <w:sdt>
        <w:sdtPr>
          <w:id w:val="-275631285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These words are especially spoken to those in “the</w:t>
        <w:br w:type="textWrapping"/>
        <w:t xml:space="preserve">churches,” after the descriptions of the prophecy have</w:t>
        <w:br w:type="textWrapping"/>
        <w:t xml:space="preserve">ended. Thus the gracious invitations of the Gospel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sinners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still in force. The water of life is figurative and spiritual in this section, as the Bride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is.</w:t>
        <w:br w:type="textWrapping"/>
        <w:tab/>
        <w:t xml:space="preserve">The hearers and the thirsty are not of the Church:</w:t>
        <w:br w:type="textWrapping"/>
        <w:t xml:space="preserve">though the coming and drinking of the spiritual water</w:t>
        <w:br w:type="textWrapping"/>
        <w:t xml:space="preserve">of life in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droughty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desert is the preparation for</w:t>
        <w:br w:type="textWrapping"/>
        <w:t xml:space="preserve">desiring the coming of our Lord. To all others, the</w:t>
        <w:br w:type="textWrapping"/>
        <w:t xml:space="preserve">Saviour’s return is only judgment and destruction.</w:t>
        <w:br w:type="textWrapping"/>
        <w:t xml:space="preserve">How can they desire it?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testify to every one that heareth the sayings</w:t>
        <w:br w:type="textWrapping"/>
        <w:t xml:space="preserve">of the prophecy of this book: if any add unto these</w:t>
        <w:br w:type="textWrapping"/>
        <w:t xml:space="preserve">things, God shall add to him the plagues that are</w:t>
        <w:br w:type="textWrapping"/>
        <w:t xml:space="preserve">written in this book.”</w:t>
        <w:br w:type="textWrapping"/>
        <w:tab/>
        <w:t xml:space="preserve">The Saviour is still the speaker. A class of offences</w:t>
        <w:br w:type="textWrapping"/>
        <w:t xml:space="preserve">and penalties, not noticed elsewhere, is here set up by</w:t>
        <w:br w:type="textWrapping"/>
        <w:t xml:space="preserve">the Redeemer’s authority. As there is special blessing</w:t>
        <w:br w:type="textWrapping"/>
        <w:t xml:space="preserve">for the readers and hearers of the book; so to</w:t>
        <w:br w:type="textWrapping"/>
        <w:t xml:space="preserve">the abusers of it there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woe in store.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hearer” is addressed: whence it appears</w:t>
        <w:br w:type="textWrapping"/>
        <w:t xml:space="preserve">to stretch beyond the members of the Church of</w:t>
        <w:br w:type="textWrapping"/>
        <w:t xml:space="preserve">Christ.</w:t>
        <w:br w:type="textWrapping"/>
        <w:tab/>
        <w:t xml:space="preserve">Does not this threatening encircle those who in</w:t>
        <w:br w:type="textWrapping"/>
        <w:t xml:space="preserve">early days wrote forged Apocalypses in the name of</w:t>
        <w:br w:type="textWrapping"/>
        <w:t xml:space="preserve">Peter and others?</w:t>
        <w:br w:type="textWrapping"/>
        <w:tab/>
        <w:t xml:space="preserve">This discovers to us one of the great subjects of the</w:t>
        <w:br w:type="textWrapping"/>
        <w:t xml:space="preserve">book. It treats of “plagues,” and they are literally to</w:t>
        <w:br w:type="textWrapping"/>
        <w:t xml:space="preserve">be taken.</w:t>
        <w:br w:type="textWrapping"/>
        <w:tab/>
        <w:t xml:space="preserve">But what if the offence be the taking away some of</w:t>
        <w:br w:type="textWrapping"/>
        <w:t xml:space="preserve">the words of the book? Then “God shall take away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4-21T16:24:23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added the closing double quote here because it is missing in the original.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GgJEDatSgR3IK9SD8HI/EJkxvg==">CgMxLjAaJwoBMBIiCiAIBCocCgtBQUFCaVZpLUd2NBAIGgtBQUFCaVZpLUd2NCK0AwoLQUFBQmlWaS1HdjQSggMKC0FBQUJpVmktR3Y0EgtBQUFCaVZpLUd2NBpZCgl0ZXh0L2h0bWwSTEkgYWRkZWQgdGhlIGNsb3NpbmcgZG91YmxlIHF1b3RlIGhlcmUgYmVjYXVzZSBpdCBpcyBtaXNzaW5nIGluIHRoZSBvcmlnaW5hbC4iWgoKdGV4dC9wbGFpbhJMSSBhZGRlZCB0aGUgY2xvc2luZyBkb3VibGUgcXVvdGUgaGVyZSBiZWNhdXNlIGl0IGlzIG1pc3NpbmcgaW4gdGhlIG9yaWdpbmFsLiobIhUxMDgzMTAwNjUxMzk3MzgxMTE5MDkoADgAMNn9qMnlMjjZ/ajJ5TJKEQoKdGV4dC9wbGFpbhID4oCdWgs3MjUwamltcmVxNnICIAB4AJoBBggAEAAYAKoBThJMSSBhZGRlZCB0aGUgY2xvc2luZyBkb3VibGUgcXVvdGUgaGVyZSBiZWNhdXNlIGl0IGlzIG1pc3NpbmcgaW4gdGhlIG9yaWdpbmFsLrABALgBABjZ/ajJ5TIg2f2oyeUyMABCEGtpeC52NjVzYTB4dXMyb3M4AHIhMVJMWFBkUUlMakxXeHFteUFmdEtBcnMzdEo5RWZhX3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