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720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 is the best interpretation that has been proposed.</w:t>
        <w:br w:type="textWrapping"/>
        <w:t xml:space="preserve">My only objection is, that it is not said, “I will make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him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 Morning Star,” or, “like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Morning Star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but,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will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give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him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Morning Star.” In what sense is</w:t>
        <w:br w:type="textWrapping"/>
        <w:t xml:space="preserve">Christ given to the victor?</w:t>
        <w:br w:type="textWrapping"/>
        <w:br w:type="textWrapping"/>
        <w:tab/>
        <w:t xml:space="preserve">29.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 that hath an ear, let him hear what the Spirit saith</w:t>
        <w:br w:type="textWrapping"/>
        <w:t xml:space="preserve">unto the churches.”</w:t>
        <w:br w:type="textWrapping"/>
        <w:br w:type="textWrapping"/>
        <w:tab/>
        <w:t xml:space="preserve">The usual exhortation succeeds; but in a different</w:t>
        <w:br w:type="textWrapping"/>
        <w:t xml:space="preserve">place from that which it holds in the first three epistles.</w:t>
        <w:br w:type="textWrapping"/>
        <w:t xml:space="preserve">It now comes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after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promises to the victor; as if the</w:t>
        <w:br w:type="textWrapping"/>
        <w:t xml:space="preserve">call would be listened to, not by the main body of the</w:t>
        <w:br w:type="textWrapping"/>
        <w:t xml:space="preserve">churches, but only by the victorious remnant.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caREOCMx1sBMjwagdtjE4nvurA==">CgMxLjA4AHIhMTRaNUkzeHBSZEtYQjF5VS1aQ3B3N2lwWkVrcGk0U1NH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