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APOCALYPSE EXPOUNDED</w:t>
        <w:br w:type="textWrapping"/>
        <w:br w:type="textWrapping"/>
        <w:t xml:space="preserve">CHAPTER 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1. “The Revelation of Jesus Christ, which God gave to him, to</w:t>
        <w:br w:type="textWrapping"/>
        <w:t xml:space="preserve">show unto his servants what must come to pass shortly; and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he sent by his angel and represented to his servant John;</w:t>
        <w:br w:type="textWrapping"/>
        <w:t xml:space="preserve">who testified (with regard to) the word of God and the testimony</w:t>
        <w:br w:type="textWrapping"/>
        <w:t xml:space="preserve">of Jesus Christ, whatever things he saw.”</w:t>
        <w:br w:type="textWrapping"/>
        <w:br w:type="textWrapping"/>
        <w:t xml:space="preserve">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“revelation” is meant the taking off a veil.</w:t>
        <w:br w:type="textWrapping"/>
        <w:t xml:space="preserve">In Scripture it intends the disclosure of secrets of</w:t>
        <w:br w:type="textWrapping"/>
        <w:t xml:space="preserve">God incapable of being divined by man. It is also</w:t>
        <w:br w:type="textWrapping"/>
        <w:t xml:space="preserve">called a “prophecy:”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Blessed is he that readeth and</w:t>
        <w:br w:type="textWrapping"/>
        <w:t xml:space="preserve">they that hear the words of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Jesus, when Israel blasphemed the Holy Spirit,</w:t>
        <w:br w:type="textWrapping"/>
        <w:t xml:space="preserve">clothed himself with a seven-fold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veil of parable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Matt.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xiii. But the Revelation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taking off of that ve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ab/>
        <w:t xml:space="preserve">But if it be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taking off a veil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from the future, then</w:t>
        <w:br w:type="textWrapping"/>
        <w:t xml:space="preserve">it must be written in a way capable of being understood</w:t>
        <w:br w:type="textWrapping"/>
        <w:t xml:space="preserve">before the things predicted occur. And it is thus</w:t>
        <w:br w:type="textWrapping"/>
        <w:t xml:space="preserve">probable that it would in the main consist of representations to be taken literally. For these are most easily</w:t>
        <w:br w:type="textWrapping"/>
        <w:t xml:space="preserve">understood. It is when Jesus would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himself from</w:t>
        <w:br w:type="textWrapping"/>
        <w:t xml:space="preserve">the comprehension of unbelieving Israel, that He uses parables of emblems.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 iv. 11, 12.</w:t>
        <w:br w:type="textWrapping"/>
        <w:tab/>
        <w:t xml:space="preserve">As one well says, “These words—‘which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gave</w:t>
        <w:br w:type="textWrapping"/>
        <w:t xml:space="preserve">unto him’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show how peculiarly this book is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regarded as coming from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not the instruction of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children in the bosom of 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XHef8kdtJj7mEmCIhIQPXks2dA==">CgMxLjA4AHIhMUZQeVc2SUw2ZjBtQjB4N2hsVDJkbTY4STlOREZMQXNk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