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spacing w:after="360"/>
        <w:jc w:val="center"/>
      </w:pPr>
      <w:r>
        <w:rPr>
          <w:rFonts w:ascii="Calibri" w:hAnsi="Calibri" w:eastAsia="微软雅黑"/>
          <w:b/>
          <w:i w:val="0"/>
          <w:color w:val="2563EB"/>
          <w:sz w:val="22"/>
        </w:rPr>
        <w:t>A/B TEST ANALYSIS</w:t>
      </w:r>
    </w:p>
    <w:p>
      <w:pPr>
        <w:spacing w:after="240"/>
        <w:jc w:val="center"/>
      </w:pPr>
      <w:r>
        <w:rPr>
          <w:rFonts w:ascii="Calibri" w:hAnsi="Calibri" w:eastAsia="微软雅黑"/>
          <w:b/>
          <w:i w:val="0"/>
          <w:color w:val="172B4D"/>
          <w:sz w:val="58"/>
        </w:rPr>
        <w:t>网约车优惠券 A/B 测试分析</w:t>
      </w:r>
    </w:p>
    <w:p>
      <w:pPr>
        <w:spacing w:after="960"/>
        <w:jc w:val="center"/>
      </w:pPr>
      <w:r>
        <w:rPr>
          <w:rFonts w:ascii="Calibri" w:hAnsi="Calibri" w:eastAsia="微软雅黑"/>
          <w:b w:val="0"/>
          <w:i w:val="0"/>
          <w:color w:val="667085"/>
          <w:sz w:val="30"/>
        </w:rPr>
        <w:t>提高优惠券力度是否值得推广？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分析对象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对照组与实验组按日期配对的29天汇总数据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8"/>
              </w:rPr>
              <w:t>主要指标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GMV、订单量、优惠券成本、ROI、完成率、取消率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8"/>
              </w:rPr>
              <w:t>核心方法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配对t检验、Wilcoxon、Bootstrap、功效与MDE分析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8"/>
              </w:rPr>
              <w:t>数据来源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test.xlsx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Calibri" w:hAnsi="Calibri" w:eastAsia="微软雅黑"/>
          <w:b w:val="0"/>
          <w:i w:val="0"/>
          <w:color w:val="667085"/>
          <w:sz w:val="18"/>
        </w:rPr>
        <w:t>项目报告 · 咨询式精简结构</w:t>
      </w:r>
    </w:p>
    <w:p>
      <w:r>
        <w:br w:type="page"/>
      </w:r>
    </w:p>
    <w:p>
      <w:pPr>
        <w:pStyle w:val="Heading1"/>
        <w:keepNext/>
      </w:pPr>
      <w:r>
        <w:t>Executive Summary｜结论速览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9A6700"/>
                <w:sz w:val="21"/>
              </w:rPr>
              <w:t>决策建议｜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1"/>
              </w:rPr>
              <w:t>不建议直接推广当前优惠券路径。实验组提高了补贴投入，但GMV和客单价显著下降；建议停止直接放量，控制券额衰减路径后进行第二轮受控实验。</w:t>
            </w:r>
          </w:p>
        </w:tc>
      </w:tr>
    </w:tbl>
    <w:p>
      <w:r>
        <w:rPr>
          <w:rFonts w:ascii="Calibri" w:hAnsi="Calibri" w:eastAsia="微软雅黑"/>
          <w:b/>
          <w:i w:val="0"/>
          <w:color w:val="172B4D"/>
          <w:sz w:val="21"/>
        </w:rPr>
        <w:t>收益指标转弱。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实验组日均GMV比对照组低 6,111（-1.26%），日均客单价下降 4.90（-1.63%）。</w:t>
      </w:r>
    </w:p>
    <w:p>
      <w:r>
        <w:rPr>
          <w:rFonts w:ascii="Calibri" w:hAnsi="Calibri" w:eastAsia="微软雅黑"/>
          <w:b/>
          <w:i w:val="0"/>
          <w:color w:val="172B4D"/>
          <w:sz w:val="21"/>
        </w:rPr>
        <w:t>结论依赖正确的配对结构。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忽略日期配对的Welch检验p=0.9387，会得到“没有差异”；按日期配对后p=0.0002，95%置信区间为[-9,058, -3,164]，且方向为下降。</w:t>
      </w:r>
    </w:p>
    <w:p>
      <w:r>
        <w:rPr>
          <w:rFonts w:ascii="Calibri" w:hAnsi="Calibri" w:eastAsia="微软雅黑"/>
          <w:b/>
          <w:i w:val="0"/>
          <w:color w:val="172B4D"/>
          <w:sz w:val="21"/>
        </w:rPr>
        <w:t>补贴经济性不成立。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实验组日均优惠券成本增加 0.77%，绝对ROI下降 2.41%。实验期总GMV减少 177,224，同时优惠券成本增加 287。</w:t>
      </w:r>
    </w:p>
    <w:p>
      <w:r>
        <w:rPr>
          <w:rFonts w:ascii="Calibri" w:hAnsi="Calibri" w:eastAsia="微软雅黑"/>
          <w:b/>
          <w:i w:val="0"/>
          <w:color w:val="172B4D"/>
          <w:sz w:val="21"/>
        </w:rPr>
        <w:t>体验护栏小幅改善。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日均完成率提高 0.20%，取消率降低 0.21%；改善幅度不足以抵消GMV和客单价下降。</w:t>
      </w:r>
    </w:p>
    <w:p>
      <w:r>
        <w:rPr>
          <w:rFonts w:ascii="Calibri" w:hAnsi="Calibri" w:eastAsia="微软雅黑"/>
          <w:b/>
          <w:i w:val="0"/>
          <w:color w:val="172B4D"/>
          <w:sz w:val="21"/>
        </w:rPr>
        <w:t>检验敏感性充足但效应存在时间异质性。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当前29对样本下，80%功效对应的GMV MDE约0.86%；负向效果主要集中在后半程，因此需在固定处理强度下复验。</w:t>
      </w:r>
    </w:p>
    <w:p>
      <w:pPr>
        <w:pStyle w:val="Heading2"/>
        <w:keepNext/>
      </w:pPr>
      <w:r>
        <w:t>核心指标一览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指标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对照组日均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实验组日均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相对变化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配对检验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GMV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485,124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479,012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-1.26%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p=0.0002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优惠券成本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1,286.5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1,296.4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+0.77%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p=0.0103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完成率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80.19%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80.38%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+0.24%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p=0.0010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取消率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6.50%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6.29%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-3.28%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p=0.0000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客单价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300.24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295.34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-1.63%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p=0.0000</w:t>
            </w:r>
          </w:p>
        </w:tc>
      </w:tr>
    </w:tbl>
    <w:p>
      <w:pPr>
        <w:pStyle w:val="Heading1"/>
        <w:keepNext/>
      </w:pPr>
      <w:r>
        <w:t>01｜项目背景与业务问题</w:t>
      </w:r>
    </w:p>
    <w:p>
      <w:pPr>
        <w:pStyle w:val="Heading2"/>
        <w:keepNext/>
      </w:pPr>
      <w:r>
        <w:t>1.1 提高优惠券力度，必须同时验证增长与效率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网约车平台希望通过提高优惠券力度刺激用户请求与成交，但补贴只有在带来足够新增GMV、订单或用户价值时才值得推广。本项目将增长指标、成本效率和体验护栏放在同一决策框架中。</w:t>
      </w:r>
    </w:p>
    <w:p>
      <w:pPr>
        <w:pStyle w:val="Heading2"/>
        <w:keepNext/>
      </w:pPr>
      <w:r>
        <w:t>1.2 本报告回答五个问题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两组是否可比，应该使用独立样本还是日期级配对分析？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提高优惠券力度是否拉动请求量、完成订单数与GMV？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新增收益能否覆盖新增补贴，ROI是否改善？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策略是否以取消率上升或完成率下降为代价？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当前实验的检验敏感性是否足够支撑结论？</w:t>
      </w:r>
    </w:p>
    <w:p>
      <w:pPr>
        <w:pStyle w:val="Heading1"/>
        <w:keepNext/>
      </w:pPr>
      <w:r>
        <w:t>02｜数据说明与实验方案设计</w:t>
      </w:r>
    </w:p>
    <w:p>
      <w:pPr>
        <w:spacing w:before="0" w:after="160"/>
      </w:pPr>
      <w:r>
        <w:rPr>
          <w:rFonts w:ascii="Calibri" w:hAnsi="Calibri" w:eastAsia="微软雅黑"/>
          <w:b w:val="0"/>
          <w:i/>
          <w:color w:val="667085"/>
          <w:sz w:val="17"/>
        </w:rPr>
        <w:t>说明：原始数据仅包含实验结果，不含方案文档、分流规则及上线记录。本节依据现有字段和标准A/B测试流程补充完整项目链路；实验日期来自数据，其余方案设计为建议，不代表实际执行记录。</w:t>
      </w:r>
    </w:p>
    <w:p>
      <w:pPr>
        <w:pStyle w:val="Heading2"/>
        <w:keepNext/>
      </w:pPr>
      <w:r>
        <w:t>2.1 数据事实：29天×2组形成完整日期配对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项目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结果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判断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数据周期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2019-01-01—2019-01-29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覆盖29个连续日期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样本结构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对照组29条、实验组29条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同日期一一配对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数据质量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0缺失、0重复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可直接进入分析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分析粒度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日期×实验组别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不能替代用户级日志</w:t>
            </w:r>
          </w:p>
        </w:tc>
      </w:tr>
    </w:tbl>
    <w:p>
      <w:pPr>
        <w:pStyle w:val="Heading2"/>
        <w:keepNext/>
      </w:pPr>
      <w:r>
        <w:t>2.2 实验目标、指标与假设（方案补充）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实验目标：判断提高优惠券力度能否增加GMV和订单，并验证新增收益能否覆盖新增补贴。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主要指标：GMV；经济性指标：绝对ROI与增量价值。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诊断指标：requests、trips、客单价。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护栏指标：完成率、取消率。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H₀：实验组与对照组的日期级核心指标均值差为0；H₁：均值差不为0。</w:t>
      </w:r>
    </w:p>
    <w:p>
      <w:pPr>
        <w:pStyle w:val="Heading2"/>
        <w:keepNext/>
      </w:pPr>
      <w:r>
        <w:t>2.3 推荐分流与灰度路径（方案补充）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采用用户ID稳定哈希分流，实验期间保持用户组别不变。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5%灰度：验证分流、领券、核销、指标监控和回滚链路。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20%放量：重点观察取消率、完成率和补贴成本。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50%正式实验：达到事前样本量与最短周期后进行正式判断。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若取消率上升、完成率下降或成本超过预算阈值，则触发回滚。</w:t>
      </w:r>
    </w:p>
    <w:p>
      <w:pPr>
        <w:pStyle w:val="Heading2"/>
        <w:keepNext/>
      </w:pPr>
      <w:r>
        <w:t>2.4 周期与样本量设计（方案补充）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正式实验建议至少覆盖两个完整业务周期，并预先锁定显著性水平5%、目标功效80%和主要指标。以当前数据的日期配对波动估算，29对样本下GMV的MDE约为日均0.86%；若真实效应等于本次观测效应，约15对日期可达到80%功效。</w:t>
      </w:r>
    </w:p>
    <w:p>
      <w:pPr>
        <w:spacing w:before="0" w:after="160"/>
      </w:pPr>
      <w:r>
        <w:rPr>
          <w:rFonts w:ascii="Calibri" w:hAnsi="Calibri" w:eastAsia="微软雅黑"/>
          <w:b w:val="0"/>
          <w:i/>
          <w:color w:val="667085"/>
          <w:sz w:val="17"/>
        </w:rPr>
        <w:t>基于已观测效应量计算的事后功效约98.4%，仅用于敏感性说明，不作为实验成功的独立证据。正式上线应使用历史基线方差进行事前测算。</w:t>
      </w:r>
    </w:p>
    <w:p>
      <w:pPr>
        <w:pStyle w:val="Heading1"/>
        <w:keepNext/>
      </w:pPr>
      <w:r>
        <w:t>03｜基线结构决定必须采用日期配对分析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两组在同一日期的请求量、订单量和GMV同步涨跌，日期间波动远大于组间差异。因此分析重点不是跨日期比较两个总体，而是在同一天内比较实验组和对照组。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743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ily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微软雅黑"/>
          <w:b w:val="0"/>
          <w:i w:val="0"/>
          <w:color w:val="667085"/>
          <w:sz w:val="17"/>
        </w:rPr>
        <w:t>图1｜两组核心指标每日趋势：同步波动支持日期级配对分析。</w:t>
      </w:r>
    </w:p>
    <w:p>
      <w:pPr>
        <w:pStyle w:val="Heading2"/>
        <w:keepNext/>
      </w:pPr>
      <w:r>
        <w:t>3.1 处理强度并非固定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两组每单优惠券金额都随时间明显下降。对照组拟合日斜率为-0.0110，实验组为-0.0112。这意味着实验不是固定券额差异的简单干预，后续结论应解释为“当前优惠券路径”的总体效果。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531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upon_intensity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微软雅黑"/>
          <w:b w:val="0"/>
          <w:i w:val="0"/>
          <w:color w:val="667085"/>
          <w:sz w:val="17"/>
        </w:rPr>
        <w:t>图2｜每单优惠券金额趋势：两组券额均随实验推进下降。</w:t>
      </w:r>
    </w:p>
    <w:p>
      <w:pPr>
        <w:pStyle w:val="Heading1"/>
        <w:keepNext/>
      </w:pPr>
      <w:r>
        <w:t>04｜实验效果：体验改善，但增长与效率转弱</w:t>
      </w:r>
    </w:p>
    <w:p>
      <w:pPr>
        <w:pStyle w:val="Heading2"/>
        <w:keepNext/>
      </w:pPr>
      <w:r>
        <w:t>4.1 请求和订单没有形成显著增量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实验组日均请求量下降0.36%（p=0.111），日均完成订单量下降0.16%（p=0.441），均未达到5%显著性水平。</w:t>
      </w:r>
    </w:p>
    <w:p>
      <w:pPr>
        <w:pStyle w:val="Heading2"/>
        <w:keepNext/>
      </w:pPr>
      <w:r>
        <w:t>4.2 GMV下降来自客单价，而非订单量大幅减少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实验组日均GMV下降1.26%，客单价下降1.63%。完成订单量基本持平，因此GMV损失主要来自每笔完成订单贡献下降，而不是订单规模明显萎缩。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1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tric_lif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微软雅黑"/>
          <w:b w:val="0"/>
          <w:i w:val="0"/>
          <w:color w:val="667085"/>
          <w:sz w:val="17"/>
        </w:rPr>
        <w:t>图3｜实验组相对对照组的日均指标变化：增长与效率指标走弱，体验护栏改善。</w:t>
      </w:r>
    </w:p>
    <w:p>
      <w:pPr>
        <w:pStyle w:val="Heading2"/>
        <w:keepNext/>
      </w:pPr>
      <w:r>
        <w:t>4.3 补贴成本增加，增量经济性为负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实验组日均优惠券成本增加0.77%，绝对ROI下降2.41%。整个实验周期实验组GMV比对照组少177,224，优惠券成本却多287。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9A6700"/>
                <w:sz w:val="21"/>
              </w:rPr>
              <w:t>解读边界｜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1"/>
              </w:rPr>
              <w:t>由于增量优惠券成本分母很小且增量GMV为负，不应把增量ROI比值外推为稳定参数。更可靠的业务判断是：当前策略增加了补贴，但没有形成正向GMV增量。</w:t>
            </w:r>
          </w:p>
        </w:tc>
      </w:tr>
    </w:tbl>
    <w:p>
      <w:pPr>
        <w:pStyle w:val="Heading2"/>
        <w:keepNext/>
      </w:pPr>
      <w:r>
        <w:t>4.4 完成率和取消率改善，但不足以支持推广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实验组日均完成率提高0.20%，取消率降低0.21%，均通过配对检验和Holm校正。体验端改善是真实信号，但商业目标GMV和ROI同时恶化，不能仅凭护栏改善推广。</w:t>
      </w:r>
    </w:p>
    <w:p>
      <w:pPr>
        <w:pStyle w:val="Heading1"/>
        <w:keepNext/>
      </w:pPr>
      <w:r>
        <w:t>05｜配对检验揭示被日期波动掩盖的负向GMV效果</w:t>
      </w:r>
    </w:p>
    <w:p>
      <w:pPr>
        <w:pStyle w:val="Heading2"/>
        <w:keepNext/>
      </w:pPr>
      <w:r>
        <w:t>5.1 错误忽略配对会得到“没有差异”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将两组29天数据误作独立样本时，Welch检验p=0.9387；按日期配对后p=0.0002。配对分析消除了两组共有的日期波动，使组间系统性差异从噪声中显现。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991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hod_revers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微软雅黑"/>
          <w:b w:val="0"/>
          <w:i w:val="0"/>
          <w:color w:val="667085"/>
          <w:sz w:val="17"/>
        </w:rPr>
        <w:t>图4｜GMV检验方法对显著性判断的影响：配对结构改变结论。</w:t>
      </w:r>
    </w:p>
    <w:p>
      <w:pPr>
        <w:pStyle w:val="Heading2"/>
        <w:keepNext/>
      </w:pPr>
      <w:r>
        <w:t>5.2 GMV差值显著为负，非参数检验结论一致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实验组－对照组的GMV日均差为-6,111，95%置信区间为[-9,058, -3,164]；Cohen's dz=-0.79。Wilcoxon检验p=0.0018，与配对t检验方向一致。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405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v_paired_dif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0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微软雅黑"/>
          <w:b w:val="0"/>
          <w:i w:val="0"/>
          <w:color w:val="667085"/>
          <w:sz w:val="17"/>
        </w:rPr>
        <w:t>图5｜每日GMV配对差值：多数后半程日期表现为负。</w:t>
      </w:r>
    </w:p>
    <w:p>
      <w:pPr>
        <w:pStyle w:val="Heading2"/>
        <w:keepNext/>
      </w:pPr>
      <w:r>
        <w:t>5.3 稳健性检查支持负向结论，但提示时间异质性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20,000次Bootstrap得到GMV均值差95%区间[-8,909, -3,394]，仍完全低于0。但前14天均值差为723（p=0.194），后15天为-12,490（p&lt;0.001）。因此负向效果并非全周期均匀，可能与券额路径、用户构成或其他时间因素有关。</w:t>
      </w:r>
    </w:p>
    <w:p>
      <w:pPr>
        <w:pStyle w:val="Heading2"/>
        <w:keepNext/>
      </w:pPr>
      <w:r>
        <w:t>5.4 当前样本能识别约0.86%的日均GMV变化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在29对日期、双侧α=5%、目标功效80%的条件下，GMV最小可检测效应约为日均0.86%（约4,176）。本次观测到的1.26%下降超过该阈值，说明GMV结论不是简单的“样本不足”。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207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wer_and_m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0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微软雅黑"/>
          <w:b w:val="0"/>
          <w:i w:val="0"/>
          <w:color w:val="667085"/>
          <w:sz w:val="17"/>
        </w:rPr>
        <w:t>图6｜功效与MDE敏感性：样本增加会提高功效并降低可检测效应门槛。</w:t>
      </w:r>
    </w:p>
    <w:p>
      <w:pPr>
        <w:pStyle w:val="Heading2"/>
        <w:keepNext/>
      </w:pPr>
      <w:r>
        <w:t>5.5 统计显著不等于值得推广</w:t>
      </w:r>
    </w:p>
    <w:p>
      <w:r>
        <w:rPr>
          <w:rFonts w:ascii="Calibri" w:hAnsi="Calibri" w:eastAsia="微软雅黑"/>
          <w:b w:val="0"/>
          <w:i w:val="0"/>
          <w:color w:val="222222"/>
          <w:sz w:val="21"/>
        </w:rPr>
        <w:t>GMV下降不仅统计显著，也具有明确的负向业务含义；完成率和取消率改善虽显著，但绝对幅度较小。推广判断必须以主要收益指标和补贴经济性为核心，再结合护栏指标确认风险。</w:t>
      </w:r>
    </w:p>
    <w:p>
      <w:pPr>
        <w:pStyle w:val="Heading1"/>
        <w:keepNext/>
      </w:pPr>
      <w:r>
        <w:t>06｜结论与行动建议</w:t>
      </w:r>
    </w:p>
    <w:p>
      <w:pPr>
        <w:pStyle w:val="Heading2"/>
        <w:keepNext/>
      </w:pPr>
      <w:r>
        <w:t>6.1 核心结论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当前优惠券路径没有拉动请求或订单，反而使日均GMV下降1.26%。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GMV下降主要由客单价降低驱动，且优惠券成本增加、绝对ROI下降。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完成率提高、取消率下降，说明体验侧可能存在正向作用，但不足以抵消收益损失。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日期配对是正确分析结构；忽略配对会把显著负向结果误判为“无差异”。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效果在前后半程明显不同，处理强度随时间变化，需通过二次受控实验验证机制。</w:t>
      </w:r>
    </w:p>
    <w:p>
      <w:pPr>
        <w:pStyle w:val="Heading2"/>
        <w:keepNext/>
      </w:pPr>
      <w:r>
        <w:t>6.2 P0｜停止直接放量，重新定义推广门槛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不按当前券额路径全量推广。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以GMV或净增量价值作为主要成功指标，而不是仅观察订单完成率。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推广门槛同时要求：主要指标达到预设最小业务提升、增量价值为正、护栏指标不恶化。</w:t>
      </w:r>
    </w:p>
    <w:p>
      <w:pPr>
        <w:pStyle w:val="Heading2"/>
        <w:keepNext/>
      </w:pPr>
      <w:r>
        <w:t>6.3 P1｜开展固定处理强度的第二轮实验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固定实验期内的券额差，或按券额档位预先分层，避免处理强度随时间漂移。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保留用户ID稳定分流，并记录实验曝光、领券、核销和订单链路。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上线前完成SRM检查、事前样本量设计和停止规则。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增加券使用率、用户分层、毛利率与长期复购指标，解释客单价下降机制。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预先注册前后半程或业务周期异质性分析，避免事后切片。</w:t>
      </w:r>
    </w:p>
    <w:p>
      <w:pPr>
        <w:pStyle w:val="Heading2"/>
        <w:keepNext/>
      </w:pPr>
      <w:r>
        <w:t>6.4 后续仍需回答的问题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实验组客单价下降，是低价订单被激活，还是高价值订单被补贴替代？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后半程GMV下降是否与券额差、用户构成或外部时间因素有关？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完成率与取消率改善能否带来长期留存价值？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纳入毛利、平台抽佣及运营成本后，策略的利润增量是多少？</w:t>
      </w:r>
    </w:p>
    <w:p>
      <w:pPr>
        <w:pStyle w:val="Heading1"/>
        <w:keepNext/>
      </w:pPr>
      <w:r>
        <w:t>07｜局限性与数据口径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数据为日期级汇总结果，并非用户级实验日志，无法核验随机化质量、SRM和重复曝光。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每单优惠券金额随时间变化，组间处理强度并非恒定，效应应解释为当前策略路径的总体结果。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前后半程差异属于事后发现，需通过预先设计的二次实验验证。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数据仅覆盖29天，不能直接外推长期留存和长期利润效果。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ROI只使用GMV与优惠券成本，不包含抽佣、司机激励和其他运营成本，不等同于利润ROI。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同时检验多个指标可能增加假阳性风险；本文补充Holm校正，并以GMV为主要决策指标。</w:t>
      </w:r>
    </w:p>
    <w:p>
      <w:pPr>
        <w:pStyle w:val="Heading1"/>
        <w:keepNext/>
      </w:pPr>
      <w:r>
        <w:t>附录A｜数据字典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类型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/>
                <w:i w:val="0"/>
                <w:color w:val="172B4D"/>
                <w:sz w:val="18"/>
              </w:rPr>
              <w:t>业务含义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date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日期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观测日期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group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文本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control / experiment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requests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整数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订单请求数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gmv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数值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成交总额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coupon per trip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数值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每单优惠券金额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trips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整数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完成订单数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canceled requests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整数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取消请求数</w:t>
            </w:r>
          </w:p>
        </w:tc>
      </w:tr>
    </w:tbl>
    <w:p>
      <w:pPr>
        <w:pStyle w:val="Heading1"/>
        <w:keepNext/>
      </w:pPr>
      <w:r>
        <w:t>附录B｜指标与方法口径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优惠券成本 = coupon per trip × trips。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绝对ROI = GMV ÷ 优惠券成本。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完成率 = trips ÷ requests。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取消率 = canceled requests ÷ requests。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客单价 = GMV ÷ trips。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配对差值 = 同日期实验组指标 − 对照组指标。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Cohen's dz = 配对差值均值 ÷ 配对差值标准差。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222222"/>
          <w:sz w:val="21"/>
        </w:rPr>
        <w:t>MDE：在给定α、功效、样本量和配对差值波动下可识别的最小效应。</w:t>
      </w:r>
    </w:p>
    <w:p>
      <w:pPr>
        <w:spacing w:before="0" w:after="160"/>
      </w:pPr>
      <w:r>
        <w:rPr>
          <w:rFonts w:ascii="Calibri" w:hAnsi="Calibri" w:eastAsia="微软雅黑"/>
          <w:b w:val="0"/>
          <w:i/>
          <w:color w:val="667085"/>
          <w:sz w:val="17"/>
        </w:rPr>
        <w:t>分析代码、完整统计结果表及图表均保存在本项目目录中。所有报告数字均由 test.xlsx 重新计算生成。</w:t>
      </w:r>
    </w:p>
    <w:sectPr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667085"/>
        <w:sz w:val="17"/>
      </w:rPr>
      <w:t xml:space="preserve">数据范围：2019年1月1日—29日  ·  第 </w:t>
    </w:r>
    <w:r>
      <w:rPr>
        <w:rFonts w:ascii="Calibri" w:hAnsi="Calibri" w:eastAsia="微软雅黑"/>
        <w:b w:val="0"/>
        <w:i w:val="0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i w:val="0"/>
        <w:color w:val="667085"/>
        <w:sz w:val="17"/>
      </w:rPr>
      <w:t>网约车优惠券 A/B 测试分析｜项目报告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rFonts w:ascii="Calibri" w:hAnsi="Calibri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网约车优惠券A/B测试分析报告</dc:title>
  <dc:subject>提高优惠券力度是否值得推广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