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11F27" w14:textId="77777777" w:rsidR="008F299C" w:rsidRPr="008F299C" w:rsidRDefault="008F299C" w:rsidP="008F299C">
      <w:pPr>
        <w:jc w:val="center"/>
        <w:rPr>
          <w:b/>
          <w:bCs/>
          <w:sz w:val="36"/>
          <w:szCs w:val="36"/>
        </w:rPr>
      </w:pPr>
      <w:proofErr w:type="spellStart"/>
      <w:r w:rsidRPr="008F299C">
        <w:rPr>
          <w:b/>
          <w:bCs/>
          <w:sz w:val="36"/>
          <w:szCs w:val="36"/>
        </w:rPr>
        <w:t>Lecanemab</w:t>
      </w:r>
      <w:proofErr w:type="spellEnd"/>
      <w:r w:rsidRPr="008F299C">
        <w:rPr>
          <w:b/>
          <w:bCs/>
          <w:sz w:val="36"/>
          <w:szCs w:val="36"/>
        </w:rPr>
        <w:t xml:space="preserve"> in Early Alzheimer’s Disease</w:t>
      </w:r>
    </w:p>
    <w:p w14:paraId="0A9CD8FF" w14:textId="6E71E642" w:rsidR="008F299C" w:rsidRDefault="008F299C" w:rsidP="008F299C">
      <w:pPr>
        <w:spacing w:line="240" w:lineRule="auto"/>
      </w:pPr>
      <w:r>
        <w:rPr>
          <w:rFonts w:hint="eastAsia"/>
        </w:rPr>
        <w:t>學生：</w:t>
      </w:r>
      <w:r w:rsidRPr="008F299C">
        <w:t xml:space="preserve">711378912 </w:t>
      </w:r>
      <w:r>
        <w:rPr>
          <w:rFonts w:hint="eastAsia"/>
        </w:rPr>
        <w:t>蔡宜</w:t>
      </w:r>
      <w:proofErr w:type="gramStart"/>
      <w:r>
        <w:rPr>
          <w:rFonts w:hint="eastAsia"/>
        </w:rPr>
        <w:t>諠</w:t>
      </w:r>
      <w:proofErr w:type="gramEnd"/>
    </w:p>
    <w:p w14:paraId="626B9903" w14:textId="52B911EA" w:rsidR="008F299C" w:rsidRDefault="008F299C" w:rsidP="008F299C">
      <w:pPr>
        <w:spacing w:line="240" w:lineRule="auto"/>
      </w:pPr>
      <w:r>
        <w:rPr>
          <w:rFonts w:hint="eastAsia"/>
        </w:rPr>
        <w:t>出處：</w:t>
      </w:r>
      <w:r w:rsidRPr="008F299C">
        <w:t>https://pubmed.ncbi.nlm.nih.gov/36586221/</w:t>
      </w:r>
      <w:r w:rsidRPr="008F299C">
        <w:br/>
      </w:r>
      <w:r w:rsidRPr="008F299C">
        <w:t>原始文獻：</w:t>
      </w:r>
      <w:r w:rsidRPr="008F299C">
        <w:t xml:space="preserve">Van Dyck CH, Swanson CJ, Aisen P, et al. </w:t>
      </w:r>
      <w:proofErr w:type="spellStart"/>
      <w:r w:rsidRPr="008F299C">
        <w:t>Lecanemab</w:t>
      </w:r>
      <w:proofErr w:type="spellEnd"/>
      <w:r w:rsidRPr="008F299C">
        <w:t xml:space="preserve"> in Early Alzheimer’s Disease. </w:t>
      </w:r>
      <w:r w:rsidRPr="001306C2">
        <w:t>N Engl J Med</w:t>
      </w:r>
      <w:r w:rsidRPr="008F299C">
        <w:t>. 2023;388(1):9-21. DOI: 10.1056/NEJMoa2212948</w:t>
      </w:r>
    </w:p>
    <w:p w14:paraId="3F550919" w14:textId="77777777" w:rsidR="008F299C" w:rsidRPr="008F299C" w:rsidRDefault="008F299C" w:rsidP="008F299C">
      <w:pPr>
        <w:rPr>
          <w:b/>
          <w:bCs/>
          <w:sz w:val="28"/>
          <w:szCs w:val="28"/>
        </w:rPr>
      </w:pPr>
      <w:r w:rsidRPr="008F299C">
        <w:rPr>
          <w:b/>
          <w:bCs/>
          <w:sz w:val="28"/>
          <w:szCs w:val="28"/>
        </w:rPr>
        <w:t>壹、試驗目的</w:t>
      </w:r>
    </w:p>
    <w:p w14:paraId="3C4AEA23" w14:textId="77777777" w:rsidR="008F299C" w:rsidRPr="008F299C" w:rsidRDefault="008F299C" w:rsidP="008F299C">
      <w:proofErr w:type="spellStart"/>
      <w:r w:rsidRPr="008F299C">
        <w:t>Lecanemab</w:t>
      </w:r>
      <w:proofErr w:type="spellEnd"/>
      <w:r w:rsidRPr="008F299C">
        <w:t xml:space="preserve"> </w:t>
      </w:r>
      <w:r w:rsidRPr="008F299C">
        <w:t>是一種單株抗體，標靶</w:t>
      </w:r>
      <w:r w:rsidRPr="008F299C">
        <w:t xml:space="preserve"> Aβ </w:t>
      </w:r>
      <w:r w:rsidRPr="008F299C">
        <w:t>原纖維，這些蛋白在阿茲海默症病理中扮演重要角色。本研究旨在探討</w:t>
      </w:r>
      <w:r w:rsidRPr="008F299C">
        <w:t xml:space="preserve"> </w:t>
      </w:r>
      <w:proofErr w:type="spellStart"/>
      <w:r w:rsidRPr="008F299C">
        <w:t>Lecanemab</w:t>
      </w:r>
      <w:proofErr w:type="spellEnd"/>
      <w:r w:rsidRPr="008F299C">
        <w:t xml:space="preserve"> </w:t>
      </w:r>
      <w:r w:rsidRPr="008F299C">
        <w:t>是否能在早期阿茲海默症患者中減緩臨床惡化。</w:t>
      </w:r>
    </w:p>
    <w:p w14:paraId="21050354" w14:textId="77777777" w:rsidR="008F299C" w:rsidRPr="008F299C" w:rsidRDefault="00000000" w:rsidP="008F299C">
      <w:r>
        <w:pict w14:anchorId="588A4EF8">
          <v:rect id="_x0000_i1025" style="width:0;height:1.5pt" o:hralign="center" o:hrstd="t" o:hr="t" fillcolor="#a0a0a0" stroked="f"/>
        </w:pict>
      </w:r>
    </w:p>
    <w:p w14:paraId="585D7359" w14:textId="77777777" w:rsidR="008F299C" w:rsidRPr="008F299C" w:rsidRDefault="008F299C" w:rsidP="008F299C">
      <w:pPr>
        <w:rPr>
          <w:b/>
          <w:bCs/>
          <w:sz w:val="28"/>
          <w:szCs w:val="28"/>
        </w:rPr>
      </w:pPr>
      <w:r w:rsidRPr="008F299C">
        <w:rPr>
          <w:b/>
          <w:bCs/>
          <w:sz w:val="28"/>
          <w:szCs w:val="28"/>
        </w:rPr>
        <w:t>貳、疾病的背景</w:t>
      </w:r>
    </w:p>
    <w:p w14:paraId="141F0243" w14:textId="77777777" w:rsidR="008F299C" w:rsidRPr="008F299C" w:rsidRDefault="008F299C" w:rsidP="008F299C">
      <w:r w:rsidRPr="008F299C">
        <w:t>阿茲海默症是一種進行性神經退化性疾病，主要病理特徵為大腦中</w:t>
      </w:r>
      <w:r w:rsidRPr="008F299C">
        <w:t xml:space="preserve"> β-amyloid (Aβ) </w:t>
      </w:r>
      <w:r w:rsidRPr="008F299C">
        <w:t>和</w:t>
      </w:r>
      <w:r w:rsidRPr="008F299C">
        <w:t xml:space="preserve"> tau </w:t>
      </w:r>
      <w:r w:rsidRPr="008F299C">
        <w:t>蛋白的異常累積，導致認知功能與日常生活能力下降。</w:t>
      </w:r>
      <w:r w:rsidRPr="008F299C">
        <w:t xml:space="preserve">Aβ </w:t>
      </w:r>
      <w:r w:rsidRPr="008F299C">
        <w:t>的聚集被認為是發病早期的關鍵事件，因此清除</w:t>
      </w:r>
      <w:r w:rsidRPr="008F299C">
        <w:t xml:space="preserve"> Aβ </w:t>
      </w:r>
      <w:r w:rsidRPr="008F299C">
        <w:t>被視為潛在治療策略之</w:t>
      </w:r>
      <w:proofErr w:type="gramStart"/>
      <w:r w:rsidRPr="008F299C">
        <w:t>一</w:t>
      </w:r>
      <w:proofErr w:type="gramEnd"/>
      <w:r w:rsidRPr="008F299C">
        <w:t>。</w:t>
      </w:r>
    </w:p>
    <w:p w14:paraId="04A69185" w14:textId="77777777" w:rsidR="008F299C" w:rsidRPr="008F299C" w:rsidRDefault="00000000" w:rsidP="008F299C">
      <w:r>
        <w:pict w14:anchorId="4D046E17">
          <v:rect id="_x0000_i1026" style="width:0;height:1.5pt" o:hralign="center" o:hrstd="t" o:hr="t" fillcolor="#a0a0a0" stroked="f"/>
        </w:pict>
      </w:r>
    </w:p>
    <w:p w14:paraId="0529523E" w14:textId="77777777" w:rsidR="008F299C" w:rsidRPr="008F299C" w:rsidRDefault="008F299C" w:rsidP="008F299C">
      <w:pPr>
        <w:rPr>
          <w:b/>
          <w:bCs/>
          <w:sz w:val="28"/>
          <w:szCs w:val="28"/>
        </w:rPr>
      </w:pPr>
      <w:r w:rsidRPr="008F299C">
        <w:rPr>
          <w:b/>
          <w:bCs/>
          <w:sz w:val="28"/>
          <w:szCs w:val="28"/>
        </w:rPr>
        <w:t>參、試驗設計</w:t>
      </w:r>
    </w:p>
    <w:p w14:paraId="1D44CD79" w14:textId="77777777" w:rsidR="008F299C" w:rsidRPr="008F299C" w:rsidRDefault="008F299C" w:rsidP="008F299C">
      <w:pPr>
        <w:numPr>
          <w:ilvl w:val="0"/>
          <w:numId w:val="1"/>
        </w:numPr>
        <w:spacing w:line="240" w:lineRule="auto"/>
        <w:ind w:left="714" w:hanging="357"/>
      </w:pPr>
      <w:r w:rsidRPr="008F299C">
        <w:rPr>
          <w:b/>
          <w:bCs/>
        </w:rPr>
        <w:t>研究類型</w:t>
      </w:r>
      <w:r w:rsidRPr="008F299C">
        <w:t>：第三期、雙盲、安慰劑對照試驗</w:t>
      </w:r>
    </w:p>
    <w:p w14:paraId="738B503A" w14:textId="77777777" w:rsidR="008F299C" w:rsidRPr="008F299C" w:rsidRDefault="008F299C" w:rsidP="008F299C">
      <w:pPr>
        <w:numPr>
          <w:ilvl w:val="0"/>
          <w:numId w:val="1"/>
        </w:numPr>
        <w:spacing w:line="240" w:lineRule="auto"/>
        <w:ind w:left="714" w:hanging="357"/>
      </w:pPr>
      <w:r w:rsidRPr="008F299C">
        <w:rPr>
          <w:b/>
          <w:bCs/>
        </w:rPr>
        <w:t>樣本數</w:t>
      </w:r>
      <w:r w:rsidRPr="008F299C">
        <w:t>：</w:t>
      </w:r>
      <w:r w:rsidRPr="008F299C">
        <w:t xml:space="preserve">1795 </w:t>
      </w:r>
      <w:r w:rsidRPr="008F299C">
        <w:t>名早期阿茲海默症患者</w:t>
      </w:r>
    </w:p>
    <w:p w14:paraId="4291C6E4" w14:textId="77777777" w:rsidR="008F299C" w:rsidRPr="008F299C" w:rsidRDefault="008F299C" w:rsidP="008F299C">
      <w:pPr>
        <w:numPr>
          <w:ilvl w:val="0"/>
          <w:numId w:val="1"/>
        </w:numPr>
        <w:spacing w:line="240" w:lineRule="auto"/>
        <w:ind w:left="714" w:hanging="357"/>
      </w:pPr>
      <w:r w:rsidRPr="008F299C">
        <w:rPr>
          <w:b/>
          <w:bCs/>
        </w:rPr>
        <w:t>分組</w:t>
      </w:r>
      <w:r w:rsidRPr="008F299C">
        <w:t>：</w:t>
      </w:r>
      <w:r w:rsidRPr="008F299C">
        <w:t xml:space="preserve">1:1 </w:t>
      </w:r>
      <w:r w:rsidRPr="008F299C">
        <w:t>分配至</w:t>
      </w:r>
      <w:r w:rsidRPr="008F299C">
        <w:t xml:space="preserve"> </w:t>
      </w:r>
      <w:proofErr w:type="spellStart"/>
      <w:r w:rsidRPr="008F299C">
        <w:t>Lecanemab</w:t>
      </w:r>
      <w:proofErr w:type="spellEnd"/>
      <w:r w:rsidRPr="008F299C">
        <w:t>（</w:t>
      </w:r>
      <w:r w:rsidRPr="008F299C">
        <w:t xml:space="preserve">10 mg/kg </w:t>
      </w:r>
      <w:r w:rsidRPr="008F299C">
        <w:t>每兩</w:t>
      </w:r>
      <w:proofErr w:type="gramStart"/>
      <w:r w:rsidRPr="008F299C">
        <w:t>週</w:t>
      </w:r>
      <w:proofErr w:type="gramEnd"/>
      <w:r w:rsidRPr="008F299C">
        <w:t>）或安慰劑組</w:t>
      </w:r>
    </w:p>
    <w:p w14:paraId="6D88028D" w14:textId="77777777" w:rsidR="008F299C" w:rsidRPr="008F299C" w:rsidRDefault="008F299C" w:rsidP="008F299C">
      <w:pPr>
        <w:numPr>
          <w:ilvl w:val="0"/>
          <w:numId w:val="1"/>
        </w:numPr>
        <w:spacing w:line="240" w:lineRule="auto"/>
        <w:ind w:left="714" w:hanging="357"/>
      </w:pPr>
      <w:r w:rsidRPr="008F299C">
        <w:rPr>
          <w:b/>
          <w:bCs/>
        </w:rPr>
        <w:t>試驗時間</w:t>
      </w:r>
      <w:r w:rsidRPr="008F299C">
        <w:t>：</w:t>
      </w:r>
      <w:r w:rsidRPr="008F299C">
        <w:t xml:space="preserve">18 </w:t>
      </w:r>
      <w:proofErr w:type="gramStart"/>
      <w:r w:rsidRPr="008F299C">
        <w:t>個</w:t>
      </w:r>
      <w:proofErr w:type="gramEnd"/>
      <w:r w:rsidRPr="008F299C">
        <w:t>月</w:t>
      </w:r>
    </w:p>
    <w:p w14:paraId="15D6C061" w14:textId="77777777" w:rsidR="008F299C" w:rsidRPr="008F299C" w:rsidRDefault="008F299C" w:rsidP="008F299C">
      <w:pPr>
        <w:numPr>
          <w:ilvl w:val="0"/>
          <w:numId w:val="1"/>
        </w:numPr>
        <w:spacing w:line="240" w:lineRule="auto"/>
        <w:ind w:left="714" w:hanging="357"/>
      </w:pPr>
      <w:r w:rsidRPr="008F299C">
        <w:rPr>
          <w:b/>
          <w:bCs/>
        </w:rPr>
        <w:t>主要評估工具</w:t>
      </w:r>
      <w:r w:rsidRPr="008F299C">
        <w:t>：</w:t>
      </w:r>
      <w:r w:rsidRPr="008F299C">
        <w:t>Clinical Dementia Rating–Sum of Boxes (CDR-SB)</w:t>
      </w:r>
    </w:p>
    <w:p w14:paraId="6A9F051B" w14:textId="77777777" w:rsidR="008F299C" w:rsidRDefault="00000000" w:rsidP="008F299C">
      <w:r>
        <w:pict w14:anchorId="3E0034B5">
          <v:rect id="_x0000_i1027" style="width:0;height:1.5pt" o:hralign="center" o:hrstd="t" o:hr="t" fillcolor="#a0a0a0" stroked="f"/>
        </w:pict>
      </w:r>
    </w:p>
    <w:p w14:paraId="25E70948" w14:textId="77777777" w:rsidR="008F299C" w:rsidRDefault="008F299C" w:rsidP="008F299C"/>
    <w:p w14:paraId="3794C595" w14:textId="77777777" w:rsidR="008F299C" w:rsidRPr="008F299C" w:rsidRDefault="008F299C" w:rsidP="008F299C"/>
    <w:p w14:paraId="7193BBAA" w14:textId="77777777" w:rsidR="008F299C" w:rsidRPr="008F299C" w:rsidRDefault="008F299C" w:rsidP="008F299C">
      <w:pPr>
        <w:rPr>
          <w:b/>
          <w:bCs/>
          <w:sz w:val="28"/>
          <w:szCs w:val="28"/>
        </w:rPr>
      </w:pPr>
      <w:r w:rsidRPr="008F299C">
        <w:rPr>
          <w:b/>
          <w:bCs/>
          <w:sz w:val="28"/>
          <w:szCs w:val="28"/>
        </w:rPr>
        <w:lastRenderedPageBreak/>
        <w:t>肆、試驗統計原則</w:t>
      </w:r>
    </w:p>
    <w:p w14:paraId="4B936750" w14:textId="77777777" w:rsidR="008F299C" w:rsidRPr="008F299C" w:rsidRDefault="008F299C" w:rsidP="008F299C">
      <w:pPr>
        <w:numPr>
          <w:ilvl w:val="0"/>
          <w:numId w:val="2"/>
        </w:numPr>
        <w:spacing w:line="240" w:lineRule="auto"/>
      </w:pPr>
      <w:r w:rsidRPr="008F299C">
        <w:rPr>
          <w:b/>
          <w:bCs/>
        </w:rPr>
        <w:t>主要效益變數</w:t>
      </w:r>
      <w:r w:rsidRPr="008F299C">
        <w:t>：</w:t>
      </w:r>
      <w:r w:rsidRPr="008F299C">
        <w:t xml:space="preserve">CDR-SB </w:t>
      </w:r>
      <w:r w:rsidRPr="008F299C">
        <w:t>變化量</w:t>
      </w:r>
    </w:p>
    <w:p w14:paraId="70EF39F5" w14:textId="77777777" w:rsidR="008F299C" w:rsidRPr="008F299C" w:rsidRDefault="008F299C" w:rsidP="008F299C">
      <w:pPr>
        <w:numPr>
          <w:ilvl w:val="0"/>
          <w:numId w:val="2"/>
        </w:numPr>
        <w:spacing w:line="240" w:lineRule="auto"/>
      </w:pPr>
      <w:r w:rsidRPr="008F299C">
        <w:rPr>
          <w:b/>
          <w:bCs/>
        </w:rPr>
        <w:t>統計方法</w:t>
      </w:r>
      <w:r w:rsidRPr="008F299C">
        <w:t>：使用混合效應模型分析時間與組別交互作用</w:t>
      </w:r>
    </w:p>
    <w:p w14:paraId="248F5A4D" w14:textId="77777777" w:rsidR="008F299C" w:rsidRPr="008F299C" w:rsidRDefault="008F299C" w:rsidP="008F299C">
      <w:pPr>
        <w:numPr>
          <w:ilvl w:val="0"/>
          <w:numId w:val="2"/>
        </w:numPr>
        <w:spacing w:line="240" w:lineRule="auto"/>
      </w:pPr>
      <w:r w:rsidRPr="008F299C">
        <w:rPr>
          <w:b/>
          <w:bCs/>
        </w:rPr>
        <w:t>其他統計變數</w:t>
      </w:r>
      <w:r w:rsidRPr="008F299C">
        <w:t>：</w:t>
      </w:r>
    </w:p>
    <w:p w14:paraId="2A87FDD6" w14:textId="77777777" w:rsidR="008F299C" w:rsidRPr="008F299C" w:rsidRDefault="008F299C" w:rsidP="008F299C">
      <w:pPr>
        <w:numPr>
          <w:ilvl w:val="1"/>
          <w:numId w:val="2"/>
        </w:numPr>
        <w:spacing w:line="240" w:lineRule="auto"/>
        <w:ind w:left="1434" w:hanging="357"/>
      </w:pPr>
      <w:r w:rsidRPr="008F299C">
        <w:t>ADCOMS</w:t>
      </w:r>
      <w:r w:rsidRPr="008F299C">
        <w:t>（</w:t>
      </w:r>
      <w:r w:rsidRPr="008F299C">
        <w:t>Alzheimer’s Disease Composite Score</w:t>
      </w:r>
      <w:r w:rsidRPr="008F299C">
        <w:t>）</w:t>
      </w:r>
    </w:p>
    <w:p w14:paraId="3E21C79E" w14:textId="77777777" w:rsidR="008F299C" w:rsidRPr="008F299C" w:rsidRDefault="008F299C" w:rsidP="008F299C">
      <w:pPr>
        <w:numPr>
          <w:ilvl w:val="1"/>
          <w:numId w:val="2"/>
        </w:numPr>
        <w:spacing w:line="240" w:lineRule="auto"/>
        <w:ind w:left="1434" w:hanging="357"/>
      </w:pPr>
      <w:r w:rsidRPr="008F299C">
        <w:t>ADAS-Cog14</w:t>
      </w:r>
      <w:r w:rsidRPr="008F299C">
        <w:t>（</w:t>
      </w:r>
      <w:r w:rsidRPr="008F299C">
        <w:t>Alzheimer’s Disease Assessment Scale</w:t>
      </w:r>
      <w:proofErr w:type="gramStart"/>
      <w:r w:rsidRPr="008F299C">
        <w:t>–</w:t>
      </w:r>
      <w:proofErr w:type="gramEnd"/>
      <w:r w:rsidRPr="008F299C">
        <w:t>Cognitive Subscale</w:t>
      </w:r>
      <w:r w:rsidRPr="008F299C">
        <w:t>）</w:t>
      </w:r>
    </w:p>
    <w:p w14:paraId="30F3E02D" w14:textId="77777777" w:rsidR="008F299C" w:rsidRPr="008F299C" w:rsidRDefault="008F299C" w:rsidP="008F299C">
      <w:pPr>
        <w:numPr>
          <w:ilvl w:val="1"/>
          <w:numId w:val="2"/>
        </w:numPr>
        <w:spacing w:line="240" w:lineRule="auto"/>
        <w:ind w:left="1434" w:hanging="357"/>
      </w:pPr>
      <w:r w:rsidRPr="008F299C">
        <w:t xml:space="preserve">Amyloid PET </w:t>
      </w:r>
      <w:r w:rsidRPr="008F299C">
        <w:t>清除程度</w:t>
      </w:r>
    </w:p>
    <w:p w14:paraId="16EBE7C8" w14:textId="77777777" w:rsidR="008F299C" w:rsidRPr="008F299C" w:rsidRDefault="00000000" w:rsidP="008F299C">
      <w:r>
        <w:pict w14:anchorId="28F2E11E">
          <v:rect id="_x0000_i1028" style="width:0;height:1.5pt" o:hralign="center" o:hrstd="t" o:hr="t" fillcolor="#a0a0a0" stroked="f"/>
        </w:pict>
      </w:r>
    </w:p>
    <w:p w14:paraId="7327976E" w14:textId="77777777" w:rsidR="008F299C" w:rsidRPr="008F299C" w:rsidRDefault="008F299C" w:rsidP="008F299C">
      <w:pPr>
        <w:rPr>
          <w:b/>
          <w:bCs/>
          <w:sz w:val="28"/>
          <w:szCs w:val="28"/>
        </w:rPr>
      </w:pPr>
      <w:r w:rsidRPr="008F299C">
        <w:rPr>
          <w:b/>
          <w:bCs/>
          <w:sz w:val="28"/>
          <w:szCs w:val="28"/>
        </w:rPr>
        <w:t>伍、試驗統計方法</w:t>
      </w:r>
    </w:p>
    <w:p w14:paraId="50E94481" w14:textId="77777777" w:rsidR="008F299C" w:rsidRPr="008F299C" w:rsidRDefault="008F299C" w:rsidP="008F299C">
      <w:pPr>
        <w:numPr>
          <w:ilvl w:val="0"/>
          <w:numId w:val="3"/>
        </w:numPr>
        <w:spacing w:line="240" w:lineRule="auto"/>
        <w:ind w:left="714" w:hanging="357"/>
      </w:pPr>
      <w:r w:rsidRPr="008F299C">
        <w:t>CDR-SB</w:t>
      </w:r>
      <w:r w:rsidRPr="008F299C">
        <w:t>：</w:t>
      </w:r>
      <w:proofErr w:type="spellStart"/>
      <w:r w:rsidRPr="008F299C">
        <w:t>Lecanemab</w:t>
      </w:r>
      <w:proofErr w:type="spellEnd"/>
      <w:r w:rsidRPr="008F299C">
        <w:t xml:space="preserve"> </w:t>
      </w:r>
      <w:r w:rsidRPr="008F299C">
        <w:t>組在第</w:t>
      </w:r>
      <w:r w:rsidRPr="008F299C">
        <w:t>18</w:t>
      </w:r>
      <w:r w:rsidRPr="008F299C">
        <w:t>個月的平均惡化為</w:t>
      </w:r>
      <w:r w:rsidRPr="008F299C">
        <w:t xml:space="preserve"> 1.21 </w:t>
      </w:r>
      <w:r w:rsidRPr="008F299C">
        <w:t>分，明顯低於安慰劑組的</w:t>
      </w:r>
      <w:r w:rsidRPr="008F299C">
        <w:t xml:space="preserve"> 1.66 </w:t>
      </w:r>
      <w:r w:rsidRPr="008F299C">
        <w:t>分，差異為</w:t>
      </w:r>
      <w:r w:rsidRPr="008F299C">
        <w:t xml:space="preserve"> -0.45 </w:t>
      </w:r>
      <w:r w:rsidRPr="008F299C">
        <w:t>分（</w:t>
      </w:r>
      <w:r w:rsidRPr="008F299C">
        <w:t>p&lt;0.001</w:t>
      </w:r>
      <w:r w:rsidRPr="008F299C">
        <w:t>）</w:t>
      </w:r>
    </w:p>
    <w:p w14:paraId="1FF5F849" w14:textId="77777777" w:rsidR="008F299C" w:rsidRPr="008F299C" w:rsidRDefault="008F299C" w:rsidP="008F299C">
      <w:pPr>
        <w:numPr>
          <w:ilvl w:val="0"/>
          <w:numId w:val="3"/>
        </w:numPr>
        <w:spacing w:line="240" w:lineRule="auto"/>
        <w:ind w:left="714" w:hanging="357"/>
      </w:pPr>
      <w:r w:rsidRPr="008F299C">
        <w:t xml:space="preserve">Amyloid PET </w:t>
      </w:r>
      <w:r w:rsidRPr="008F299C">
        <w:t>顯示，</w:t>
      </w:r>
      <w:proofErr w:type="spellStart"/>
      <w:r w:rsidRPr="008F299C">
        <w:t>Lecanemab</w:t>
      </w:r>
      <w:proofErr w:type="spellEnd"/>
      <w:r w:rsidRPr="008F299C">
        <w:t xml:space="preserve"> </w:t>
      </w:r>
      <w:r w:rsidRPr="008F299C">
        <w:t>組</w:t>
      </w:r>
      <w:r w:rsidRPr="008F299C">
        <w:t xml:space="preserve"> Aβ </w:t>
      </w:r>
      <w:r w:rsidRPr="008F299C">
        <w:t>累積顯著下降</w:t>
      </w:r>
    </w:p>
    <w:p w14:paraId="3A42BFD1" w14:textId="77777777" w:rsidR="008F299C" w:rsidRPr="008F299C" w:rsidRDefault="008F299C" w:rsidP="008F299C">
      <w:pPr>
        <w:numPr>
          <w:ilvl w:val="0"/>
          <w:numId w:val="3"/>
        </w:numPr>
        <w:spacing w:line="240" w:lineRule="auto"/>
        <w:ind w:left="714" w:hanging="357"/>
      </w:pPr>
      <w:r w:rsidRPr="008F299C">
        <w:t>常見副作用包括</w:t>
      </w:r>
      <w:r w:rsidRPr="008F299C">
        <w:t xml:space="preserve"> ARIA</w:t>
      </w:r>
      <w:r w:rsidRPr="008F299C">
        <w:t>（</w:t>
      </w:r>
      <w:r w:rsidRPr="008F299C">
        <w:t>amyloid-related imaging abnormalities</w:t>
      </w:r>
      <w:r w:rsidRPr="008F299C">
        <w:t>）</w:t>
      </w:r>
    </w:p>
    <w:p w14:paraId="2DC590B7" w14:textId="77777777" w:rsidR="008F299C" w:rsidRPr="008F299C" w:rsidRDefault="00000000" w:rsidP="008F299C">
      <w:r>
        <w:pict w14:anchorId="08B2FBD1">
          <v:rect id="_x0000_i1029" style="width:0;height:1.5pt" o:hralign="center" o:hrstd="t" o:hr="t" fillcolor="#a0a0a0" stroked="f"/>
        </w:pict>
      </w:r>
    </w:p>
    <w:p w14:paraId="0F4D8384" w14:textId="77777777" w:rsidR="008F299C" w:rsidRPr="008F299C" w:rsidRDefault="008F299C" w:rsidP="008F299C">
      <w:pPr>
        <w:rPr>
          <w:b/>
          <w:bCs/>
          <w:sz w:val="28"/>
          <w:szCs w:val="28"/>
        </w:rPr>
      </w:pPr>
      <w:r w:rsidRPr="008F299C">
        <w:rPr>
          <w:b/>
          <w:bCs/>
          <w:sz w:val="28"/>
          <w:szCs w:val="28"/>
        </w:rPr>
        <w:t>陸、評論</w:t>
      </w:r>
    </w:p>
    <w:p w14:paraId="2BBB19EC" w14:textId="77777777" w:rsidR="008F299C" w:rsidRPr="008F299C" w:rsidRDefault="008F299C" w:rsidP="008F299C">
      <w:r w:rsidRPr="008F299C">
        <w:t>本研究符合</w:t>
      </w:r>
      <w:r w:rsidRPr="008F299C">
        <w:t xml:space="preserve"> ICH-E9 </w:t>
      </w:r>
      <w:r w:rsidRPr="008F299C">
        <w:t>的臨床試驗原則，包括隨機分派、雙盲設計、明確的主要變數與統計分析策略。樣本數充足，統計效力良好。</w:t>
      </w:r>
      <w:proofErr w:type="spellStart"/>
      <w:r w:rsidRPr="008F299C">
        <w:t>Lecanemab</w:t>
      </w:r>
      <w:proofErr w:type="spellEnd"/>
      <w:r w:rsidRPr="008F299C">
        <w:t xml:space="preserve"> </w:t>
      </w:r>
      <w:r w:rsidRPr="008F299C">
        <w:t>在早期阿茲海默症患者中顯示減緩臨床惡化的潛力，但副作用（如</w:t>
      </w:r>
      <w:r w:rsidRPr="008F299C">
        <w:t>ARIA</w:t>
      </w:r>
      <w:r w:rsidRPr="008F299C">
        <w:t>）需密切監控。</w:t>
      </w:r>
      <w:proofErr w:type="gramStart"/>
      <w:r w:rsidRPr="008F299C">
        <w:t>雖本研究</w:t>
      </w:r>
      <w:proofErr w:type="gramEnd"/>
      <w:r w:rsidRPr="008F299C">
        <w:t>結果正向，但建議進一步長期追蹤與真實世界數據佐證其療效與安全性。</w:t>
      </w:r>
    </w:p>
    <w:p w14:paraId="43DE4AB3" w14:textId="77777777" w:rsidR="008F299C" w:rsidRPr="008F299C" w:rsidRDefault="00000000" w:rsidP="008F299C">
      <w:r>
        <w:pict w14:anchorId="55733214">
          <v:rect id="_x0000_i1030" style="width:0;height:1.5pt" o:hralign="center" o:hrstd="t" o:hr="t" fillcolor="#a0a0a0" stroked="f"/>
        </w:pict>
      </w:r>
    </w:p>
    <w:p w14:paraId="41E4984F" w14:textId="77777777" w:rsidR="008F299C" w:rsidRPr="008F299C" w:rsidRDefault="008F299C" w:rsidP="008F299C">
      <w:pPr>
        <w:rPr>
          <w:b/>
          <w:bCs/>
          <w:sz w:val="28"/>
          <w:szCs w:val="28"/>
        </w:rPr>
      </w:pPr>
      <w:proofErr w:type="gramStart"/>
      <w:r w:rsidRPr="008F299C">
        <w:rPr>
          <w:b/>
          <w:bCs/>
          <w:sz w:val="28"/>
          <w:szCs w:val="28"/>
        </w:rPr>
        <w:t>柒</w:t>
      </w:r>
      <w:proofErr w:type="gramEnd"/>
      <w:r w:rsidRPr="008F299C">
        <w:rPr>
          <w:b/>
          <w:bCs/>
          <w:sz w:val="28"/>
          <w:szCs w:val="28"/>
        </w:rPr>
        <w:t>、參考文獻</w:t>
      </w:r>
    </w:p>
    <w:p w14:paraId="79B3DC06" w14:textId="77777777" w:rsidR="008F299C" w:rsidRPr="008F299C" w:rsidRDefault="008F299C" w:rsidP="008F299C">
      <w:pPr>
        <w:numPr>
          <w:ilvl w:val="0"/>
          <w:numId w:val="4"/>
        </w:numPr>
        <w:spacing w:line="240" w:lineRule="auto"/>
        <w:ind w:left="714" w:hanging="357"/>
      </w:pPr>
      <w:r w:rsidRPr="008F299C">
        <w:t xml:space="preserve">Van Dyck CH, et al. (2023). </w:t>
      </w:r>
      <w:r w:rsidRPr="008F299C">
        <w:rPr>
          <w:i/>
          <w:iCs/>
        </w:rPr>
        <w:t>N Engl J Med</w:t>
      </w:r>
      <w:r w:rsidRPr="008F299C">
        <w:t>, 388(1), 9-21. DOI: 10.1056/NEJMoa2212948</w:t>
      </w:r>
    </w:p>
    <w:p w14:paraId="3E029CB5" w14:textId="706F95B2" w:rsidR="008F299C" w:rsidRPr="008F299C" w:rsidRDefault="008F299C" w:rsidP="008F299C">
      <w:pPr>
        <w:numPr>
          <w:ilvl w:val="0"/>
          <w:numId w:val="4"/>
        </w:numPr>
        <w:spacing w:line="240" w:lineRule="auto"/>
        <w:ind w:left="714" w:hanging="357"/>
      </w:pPr>
      <w:r w:rsidRPr="008F299C">
        <w:t>ICH E9: Statistical Principles for Clinical Trials</w:t>
      </w:r>
    </w:p>
    <w:sectPr w:rsidR="008F299C" w:rsidRPr="008F299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C51DB"/>
    <w:multiLevelType w:val="multilevel"/>
    <w:tmpl w:val="F96EB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9A25BA"/>
    <w:multiLevelType w:val="multilevel"/>
    <w:tmpl w:val="2296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884AA2"/>
    <w:multiLevelType w:val="multilevel"/>
    <w:tmpl w:val="EFB80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615F7F"/>
    <w:multiLevelType w:val="multilevel"/>
    <w:tmpl w:val="CB260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4841075">
    <w:abstractNumId w:val="2"/>
  </w:num>
  <w:num w:numId="2" w16cid:durableId="1373732102">
    <w:abstractNumId w:val="3"/>
  </w:num>
  <w:num w:numId="3" w16cid:durableId="649098778">
    <w:abstractNumId w:val="1"/>
  </w:num>
  <w:num w:numId="4" w16cid:durableId="16924135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99C"/>
    <w:rsid w:val="000058B8"/>
    <w:rsid w:val="0011334B"/>
    <w:rsid w:val="001306C2"/>
    <w:rsid w:val="001939B3"/>
    <w:rsid w:val="00601E16"/>
    <w:rsid w:val="0070600A"/>
    <w:rsid w:val="007B2AA4"/>
    <w:rsid w:val="008447EE"/>
    <w:rsid w:val="008E0333"/>
    <w:rsid w:val="008F2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2B3B6"/>
  <w15:chartTrackingRefBased/>
  <w15:docId w15:val="{C7F29328-5F5A-4F7B-85DF-362E298F9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F299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29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F299C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299C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29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299C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299C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299C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299C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F299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8F29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8F299C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8F29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8F299C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8F299C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8F299C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8F299C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8F299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F299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8F29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299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8F299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F29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8F299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F299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F299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F29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8F299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F29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965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06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73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8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192</Words>
  <Characters>1096</Characters>
  <Application>Microsoft Office Word</Application>
  <DocSecurity>0</DocSecurity>
  <Lines>9</Lines>
  <Paragraphs>2</Paragraphs>
  <ScaleCrop>false</ScaleCrop>
  <Company/>
  <LinksUpToDate>false</LinksUpToDate>
  <CharactersWithSpaces>1286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蔡宜諠</dc:creator>
  <cp:keywords/>
  <dc:description/>
  <cp:lastModifiedBy>蔡宜諠</cp:lastModifiedBy>
  <cp:revision>2</cp:revision>
  <dcterms:created xsi:type="dcterms:W3CDTF">2025-05-19T12:44:00Z</dcterms:created>
  <dcterms:modified xsi:type="dcterms:W3CDTF">2025-05-23T01:39:00Z</dcterms:modified>
</cp:coreProperties>
</file>