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FA14CD4">
      <w:pPr>
        <w:pStyle w:val="style0"/>
        <w:rPr/>
      </w:pPr>
      <w:bookmarkStart w:id="0" w:name="_GoBack"/>
      <w:bookmarkEnd w:id="0"/>
    </w:p>
    <w:p w14:paraId="DBAEB611">
      <w:pPr>
        <w:pStyle w:val="style0"/>
        <w:rPr/>
      </w:pPr>
      <w:r>
        <w:t>该业务场景原稿存在一处关键性逻辑错误：ERP系统内的交货期不可变更，此字段直接来源于合同交货期，在合同签订完成后就已锁定，无法做后续修改。</w:t>
      </w:r>
    </w:p>
    <w:p w14:paraId="C4CE8B73">
      <w:pPr>
        <w:pStyle w:val="style0"/>
        <w:rPr/>
      </w:pPr>
      <w:r>
        <w:t xml:space="preserve"> </w:t>
      </w:r>
    </w:p>
    <w:p w14:paraId="A5AE5DFB">
      <w:pPr>
        <w:pStyle w:val="style0"/>
        <w:rPr/>
      </w:pPr>
      <w:r>
        <w:t>我们所设计的工单名称为超期交货督办。该工单的触发逻辑为：当系统当前时间，超过订单在ECP供应计划中的确定交货期，即生成督办工单。</w:t>
      </w:r>
    </w:p>
    <w:p w14:paraId="DBA7A1D9">
      <w:pPr>
        <w:pStyle w:val="style0"/>
        <w:rPr/>
      </w:pPr>
      <w:r>
        <w:t>⚠️重点说明：本工单的数据来源与ERP交货期字段无关，全部取自ECP供应计划的确定交货期；既不需要读取ERP的交货期数据，也不存在对ERP交货期字段的修改操作。</w:t>
      </w:r>
    </w:p>
    <w:p w14:paraId="717E37D9">
      <w:pPr>
        <w:pStyle w:val="style0"/>
        <w:rPr/>
      </w:pPr>
      <w:r>
        <w:t xml:space="preserve"> </w:t>
      </w:r>
    </w:p>
    <w:p w14:paraId="76094976">
      <w:pPr>
        <w:pStyle w:val="style0"/>
        <w:rPr/>
      </w:pPr>
      <w:r>
        <w:t>当工作人员收到这条超期交货督办工单时，代表该订单已超出ECP登记的确定交货期，但尚未完成收货。一般存在两种情形：一是物资尚未送达；二是物资已经到货，但暂未在系统中完成收货手续。</w:t>
      </w:r>
    </w:p>
    <w:p w14:paraId="C978C762">
      <w:pPr>
        <w:pStyle w:val="style0"/>
        <w:rPr/>
      </w:pPr>
      <w:r>
        <w:t xml:space="preserve"> </w:t>
      </w:r>
    </w:p>
    <w:p w14:paraId="20005D05">
      <w:pPr>
        <w:pStyle w:val="style0"/>
        <w:rPr/>
      </w:pPr>
      <w:r>
        <w:t>针对物资是否到货的状态，无法依靠系统自动判定，唯一核实途径是对接供应商。在本场景的方案设计中，将通过e物资平台向供应商发起征询，确认物资的实际到货情况。</w:t>
      </w:r>
    </w:p>
    <w:p w14:paraId="2722997C">
      <w:pPr>
        <w:pStyle w:val="style0"/>
        <w:rPr/>
      </w:pPr>
      <w:r>
        <w:t>👉若供应商反馈尚未交货，则启动违约处置流程，根据逾期严重程度，采取约谈供应商、正式发函催告等对应处置措施。</w:t>
      </w:r>
    </w:p>
    <w:p w14:paraId="AFFB904E">
      <w:pPr>
        <w:pStyle w:val="style0"/>
        <w:rPr/>
      </w:pPr>
      <w:r>
        <w:t xml:space="preserve"> </w:t>
      </w:r>
    </w:p>
    <w:p w14:paraId="DA1EA0A6">
      <w:pPr>
        <w:pStyle w:val="style0"/>
        <w:rPr/>
      </w:pPr>
      <w:r>
        <w:t>而针对“物资已到，但未完成系统收货手续”的问题，则可通过系统数据排查收货流程的卡滞节点。</w:t>
      </w:r>
    </w:p>
    <w:p w14:paraId="A80EE3A6">
      <w:pPr>
        <w:pStyle w:val="style0"/>
        <w:rPr/>
      </w:pPr>
      <w:r>
        <w:t>完整的收货办理分为三步：</w:t>
      </w:r>
    </w:p>
    <w:p w14:paraId="046FBA9F">
      <w:pPr>
        <w:pStyle w:val="style0"/>
        <w:rPr/>
      </w:pPr>
      <w:r>
        <w:t xml:space="preserve"> </w:t>
      </w:r>
    </w:p>
    <w:p w14:paraId="4782CBF5">
      <w:pPr>
        <w:pStyle w:val="style0"/>
        <w:rPr/>
      </w:pPr>
      <w:r>
        <w:t>1. 供应商在ECP系统确认发货通知；</w:t>
      </w:r>
    </w:p>
    <w:p w14:paraId="08C9EBBE">
      <w:pPr>
        <w:pStyle w:val="style0"/>
        <w:rPr/>
      </w:pPr>
      <w:r>
        <w:t>2. ERP将单据同步至电子签章平台，并完成签章人员分配；</w:t>
      </w:r>
    </w:p>
    <w:p w14:paraId="2E779122">
      <w:pPr>
        <w:pStyle w:val="style0"/>
        <w:rPr/>
      </w:pPr>
      <w:r>
        <w:t>3. 在e物资平台完成签章操作。</w:t>
      </w:r>
    </w:p>
    <w:p w14:paraId="2BACFF95">
      <w:pPr>
        <w:pStyle w:val="style0"/>
        <w:rPr/>
      </w:pPr>
      <w:r>
        <w:t xml:space="preserve"> </w:t>
      </w:r>
    </w:p>
    <w:p w14:paraId="8B5B8632">
      <w:pPr>
        <w:pStyle w:val="style0"/>
        <w:rPr/>
      </w:pPr>
      <w:r>
        <w:t>依托AI能力，可自动监测收货流程停滞在哪一个节点，并执行对应的处置动作：</w:t>
      </w:r>
    </w:p>
    <w:p w14:paraId="BE21D69D">
      <w:pPr>
        <w:pStyle w:val="style0"/>
        <w:rPr/>
      </w:pPr>
      <w:r>
        <w:t>✅若卡滞在第1步（供应商未确认发货通知）：AI向供应商发送提醒，督促其尽快完成ECP发货通知确认。</w:t>
      </w:r>
    </w:p>
    <w:p w14:paraId="99C6DD55">
      <w:pPr>
        <w:pStyle w:val="style0"/>
        <w:rPr/>
      </w:pPr>
      <w:r>
        <w:t>✅若卡滞在第2步（ERP未同步单据至电子签章平台、未分配签章人员）：AI可发起ERP同步操作，并给出签章人员分配的推荐方案，经业务人员确认授权后，自动执行同步与人员分配。</w:t>
      </w:r>
    </w:p>
    <w:p w14:paraId="B9E261EE">
      <w:pPr>
        <w:pStyle w:val="style0"/>
        <w:rPr/>
      </w:pPr>
      <w:r>
        <w:t>✅若卡滞在第3步（e物资平台未完成签署）：AI识别出未完成签署的对应责任人，征询业务人员意见后发起提醒。责任人如果是内部人员，则通过内部工单推送提醒；责任人如果是外部供应商，则通过e物资平台发送提醒消息。</w:t>
      </w:r>
    </w:p>
    <w:p w14:paraId="0DA3BA54">
      <w:pPr>
        <w:pStyle w:val="style0"/>
        <w:rPr/>
      </w:pPr>
      <w:r>
        <w:t xml:space="preserve"> </w:t>
      </w:r>
    </w:p>
    <w:p w14:paraId="A068B57B">
      <w:pPr>
        <w:pStyle w:val="style0"/>
        <w:rPr/>
      </w:pPr>
      <w:r>
        <w:t> </w:t>
      </w:r>
    </w:p>
    <w:p w14:paraId="4B6D6F8D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788</Words>
  <Characters>820</Characters>
  <Application>WPS Office</Application>
  <Paragraphs>25</Paragraphs>
  <CharactersWithSpaces>831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2026-10-20T04:42:25Z</dcterms:created>
  <dc:creator>PHK110</dc:creator>
  <lastModifiedBy>PHK110</lastModifiedBy>
  <dcterms:modified xsi:type="dcterms:W3CDTF">2026-10-20T04:43:24Z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60bd7d8b0cda4966970e06b746df5e77_21</vt:lpwstr>
  </property>
</Properties>
</file>