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e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9E1376F">
      <w:pPr>
        <w:pStyle w:val="32"/>
        <w:widowControl/>
        <w:spacing w:before="1200" w:after="360"/>
        <w:jc w:val="center"/>
      </w:pPr>
      <w:r>
        <w:t>飞机 STEP 模型小特征识别期刊论文逻辑大纲</w:t>
      </w:r>
    </w:p>
    <w:p w14:paraId="39DD3D0B">
      <w:pPr>
        <w:widowControl/>
        <w:spacing w:after="600"/>
        <w:jc w:val="center"/>
      </w:pPr>
      <w:r>
        <w:t>基于双专家图神经网络与组件级拓扑一致性校核</w:t>
      </w:r>
    </w:p>
    <w:p w14:paraId="227BD5CC">
      <w:pPr>
        <w:widowControl/>
        <w:spacing w:after="80" w:line="324" w:lineRule="auto"/>
        <w:ind w:firstLine="420"/>
      </w:pPr>
      <w:r>
        <w:t>本文档用于指导当前项目形成一篇完整的期刊论文。论文聚焦于完整飞机 STEP/B-Rep 模型中的面级小特征识别：将铆钉定义为具有重复性、局部凸起或凹陷及明确边界的细粒度结构面；将表面特征定义为主体表面上的局部非主体结构面，例如窗户、贴花及其他可识别的小尺度面。铆钉属于表面小特征的一个子类，但由于形态规律和误报代价不同，本文在建模时将其作为独立预测类别。论文同时关注预测结果与原始 STEP face_id 的可追溯性，并为后续经确认的 CAD 简化提供候选面。</w:t>
      </w:r>
    </w:p>
    <w:p w14:paraId="00B4D38A">
      <w:pPr>
        <w:widowControl/>
        <w:spacing w:after="80" w:line="324" w:lineRule="auto"/>
        <w:ind w:firstLine="420"/>
      </w:pPr>
      <w:r>
        <w:t>当前论文证据以特征识别、候选面生成和下游简化验证为主；若删除闭环尚未完成，结论不宣称自动删除效果，而是明确后续验证方案与适用边界。</w:t>
      </w:r>
    </w:p>
    <w:p w14:paraId="36EF70F6">
      <w:pPr>
        <w:widowControl/>
        <w:spacing w:before="360" w:after="120"/>
        <w:jc w:val="center"/>
      </w:pPr>
      <w:r>
        <w:t>建议用途</w:t>
      </w:r>
    </w:p>
    <w:tbl>
      <w:tblPr>
        <w:tblStyle w:val="33"/>
        <w:tblW w:w="0" w:type="auto"/>
        <w:jc w:val="center"/>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Layout w:type="fixed"/>
        <w:tblCellMar>
          <w:top w:w="0" w:type="dxa"/>
          <w:left w:w="108" w:type="dxa"/>
          <w:bottom w:w="0" w:type="dxa"/>
          <w:right w:w="108" w:type="dxa"/>
        </w:tblCellMar>
      </w:tblPr>
      <w:tblGrid>
        <w:gridCol w:w="4703"/>
        <w:gridCol w:w="4703"/>
      </w:tblGrid>
      <w:tr w14:paraId="744E70BF">
        <w:trPr>
          <w:tblHeader/>
          <w:jc w:val="center"/>
        </w:trPr>
        <w:tc>
          <w:tcPr>
            <w:tcW w:w="1701" w:type="dxa"/>
            <w:shd w:val="clear" w:color="auto" w:fill="1F4E78"/>
            <w:tcMar>
              <w:top w:w="100" w:type="dxa"/>
              <w:left w:w="120" w:type="dxa"/>
              <w:bottom w:w="100" w:type="dxa"/>
              <w:right w:w="120" w:type="dxa"/>
            </w:tcMar>
            <w:vAlign w:val="center"/>
          </w:tcPr>
          <w:p w14:paraId="7DAE694A">
            <w:pPr>
              <w:jc w:val="center"/>
            </w:pPr>
            <w:r>
              <w:rPr>
                <w:rFonts w:ascii="Times New Roman" w:hAnsi="Times New Roman" w:eastAsia="微软雅黑"/>
                <w:b/>
                <w:color w:val="FFFFFF"/>
                <w:sz w:val="18"/>
              </w:rPr>
              <w:t>阶段</w:t>
            </w:r>
          </w:p>
        </w:tc>
        <w:tc>
          <w:tcPr>
            <w:tcW w:w="6520" w:type="dxa"/>
            <w:shd w:val="clear" w:color="auto" w:fill="1F4E78"/>
            <w:tcMar>
              <w:top w:w="100" w:type="dxa"/>
              <w:left w:w="120" w:type="dxa"/>
              <w:bottom w:w="100" w:type="dxa"/>
              <w:right w:w="120" w:type="dxa"/>
            </w:tcMar>
            <w:vAlign w:val="center"/>
          </w:tcPr>
          <w:p w14:paraId="791B0C54">
            <w:pPr>
              <w:jc w:val="center"/>
            </w:pPr>
            <w:r>
              <w:rPr>
                <w:rFonts w:ascii="Times New Roman" w:hAnsi="Times New Roman" w:eastAsia="微软雅黑"/>
                <w:b/>
                <w:color w:val="FFFFFF"/>
                <w:sz w:val="18"/>
              </w:rPr>
              <w:t>用途</w:t>
            </w:r>
          </w:p>
        </w:tc>
      </w:tr>
      <w:tr w14:paraId="212CEC09">
        <w:trPr>
          <w:jc w:val="center"/>
        </w:trPr>
        <w:tc>
          <w:tcPr>
            <w:tcW w:w="1701" w:type="dxa"/>
            <w:tcMar>
              <w:top w:w="100" w:type="dxa"/>
              <w:left w:w="120" w:type="dxa"/>
              <w:bottom w:w="100" w:type="dxa"/>
              <w:right w:w="120" w:type="dxa"/>
            </w:tcMar>
            <w:vAlign w:val="center"/>
          </w:tcPr>
          <w:p w14:paraId="162C0E0E">
            <w:pPr>
              <w:spacing w:after="0" w:line="264" w:lineRule="auto"/>
              <w:jc w:val="center"/>
            </w:pPr>
            <w:r>
              <w:rPr>
                <w:rFonts w:ascii="Times New Roman" w:hAnsi="Times New Roman" w:eastAsia="宋体"/>
                <w:color w:val="000000"/>
                <w:sz w:val="18"/>
              </w:rPr>
              <w:t>论文立项</w:t>
            </w:r>
          </w:p>
        </w:tc>
        <w:tc>
          <w:tcPr>
            <w:tcW w:w="6520" w:type="dxa"/>
            <w:tcMar>
              <w:top w:w="100" w:type="dxa"/>
              <w:left w:w="120" w:type="dxa"/>
              <w:bottom w:w="100" w:type="dxa"/>
              <w:right w:w="120" w:type="dxa"/>
            </w:tcMar>
            <w:vAlign w:val="center"/>
          </w:tcPr>
          <w:p w14:paraId="377A5D2D">
            <w:pPr>
              <w:spacing w:after="0" w:line="264" w:lineRule="auto"/>
              <w:jc w:val="left"/>
            </w:pPr>
            <w:r>
              <w:rPr>
                <w:rFonts w:ascii="Times New Roman" w:hAnsi="Times New Roman" w:eastAsia="宋体"/>
                <w:color w:val="000000"/>
                <w:sz w:val="18"/>
              </w:rPr>
              <w:t>确定研究问题、方法边界和创新点</w:t>
            </w:r>
          </w:p>
        </w:tc>
      </w:tr>
      <w:tr w14:paraId="68DF4B5E">
        <w:trPr>
          <w:jc w:val="center"/>
        </w:trPr>
        <w:tc>
          <w:tcPr>
            <w:tcW w:w="1701" w:type="dxa"/>
            <w:shd w:val="clear" w:color="auto" w:fill="F3F7FA"/>
            <w:tcMar>
              <w:top w:w="100" w:type="dxa"/>
              <w:left w:w="120" w:type="dxa"/>
              <w:bottom w:w="100" w:type="dxa"/>
              <w:right w:w="120" w:type="dxa"/>
            </w:tcMar>
            <w:vAlign w:val="center"/>
          </w:tcPr>
          <w:p w14:paraId="6A497973">
            <w:pPr>
              <w:spacing w:after="0" w:line="264" w:lineRule="auto"/>
              <w:jc w:val="center"/>
            </w:pPr>
            <w:r>
              <w:rPr>
                <w:rFonts w:ascii="Times New Roman" w:hAnsi="Times New Roman" w:eastAsia="宋体"/>
                <w:color w:val="000000"/>
                <w:sz w:val="18"/>
              </w:rPr>
              <w:t>实验补充</w:t>
            </w:r>
          </w:p>
        </w:tc>
        <w:tc>
          <w:tcPr>
            <w:tcW w:w="6520" w:type="dxa"/>
            <w:shd w:val="clear" w:color="auto" w:fill="F3F7FA"/>
            <w:tcMar>
              <w:top w:w="100" w:type="dxa"/>
              <w:left w:w="120" w:type="dxa"/>
              <w:bottom w:w="100" w:type="dxa"/>
              <w:right w:w="120" w:type="dxa"/>
            </w:tcMar>
            <w:vAlign w:val="center"/>
          </w:tcPr>
          <w:p w14:paraId="59D8FA44">
            <w:pPr>
              <w:spacing w:after="0" w:line="264" w:lineRule="auto"/>
              <w:jc w:val="left"/>
            </w:pPr>
            <w:r>
              <w:rPr>
                <w:rFonts w:ascii="Times New Roman" w:hAnsi="Times New Roman" w:eastAsia="宋体"/>
                <w:color w:val="000000"/>
                <w:sz w:val="18"/>
              </w:rPr>
              <w:t>依据消融矩阵补齐可复现证据</w:t>
            </w:r>
          </w:p>
        </w:tc>
      </w:tr>
      <w:tr w14:paraId="282C4C1A">
        <w:trPr>
          <w:jc w:val="center"/>
        </w:trPr>
        <w:tc>
          <w:tcPr>
            <w:tcW w:w="1701" w:type="dxa"/>
            <w:tcMar>
              <w:top w:w="100" w:type="dxa"/>
              <w:left w:w="120" w:type="dxa"/>
              <w:bottom w:w="100" w:type="dxa"/>
              <w:right w:w="120" w:type="dxa"/>
            </w:tcMar>
            <w:vAlign w:val="center"/>
          </w:tcPr>
          <w:p w14:paraId="39444480">
            <w:pPr>
              <w:spacing w:after="0" w:line="264" w:lineRule="auto"/>
              <w:jc w:val="center"/>
            </w:pPr>
            <w:r>
              <w:rPr>
                <w:rFonts w:ascii="Times New Roman" w:hAnsi="Times New Roman" w:eastAsia="宋体"/>
                <w:color w:val="000000"/>
                <w:sz w:val="18"/>
              </w:rPr>
              <w:t>正文写作</w:t>
            </w:r>
          </w:p>
        </w:tc>
        <w:tc>
          <w:tcPr>
            <w:tcW w:w="6520" w:type="dxa"/>
            <w:tcMar>
              <w:top w:w="100" w:type="dxa"/>
              <w:left w:w="120" w:type="dxa"/>
              <w:bottom w:w="100" w:type="dxa"/>
              <w:right w:w="120" w:type="dxa"/>
            </w:tcMar>
            <w:vAlign w:val="center"/>
          </w:tcPr>
          <w:p w14:paraId="3F86DCD8">
            <w:pPr>
              <w:spacing w:after="0" w:line="264" w:lineRule="auto"/>
              <w:jc w:val="left"/>
            </w:pPr>
            <w:r>
              <w:rPr>
                <w:rFonts w:ascii="Times New Roman" w:hAnsi="Times New Roman" w:eastAsia="宋体"/>
                <w:color w:val="000000"/>
                <w:sz w:val="18"/>
              </w:rPr>
              <w:t>按章节提示扩写中文初稿</w:t>
            </w:r>
          </w:p>
        </w:tc>
      </w:tr>
      <w:tr w14:paraId="746C9313">
        <w:trPr>
          <w:jc w:val="center"/>
        </w:trPr>
        <w:tc>
          <w:tcPr>
            <w:tcW w:w="1701" w:type="dxa"/>
            <w:shd w:val="clear" w:color="auto" w:fill="F3F7FA"/>
            <w:tcMar>
              <w:top w:w="100" w:type="dxa"/>
              <w:left w:w="120" w:type="dxa"/>
              <w:bottom w:w="100" w:type="dxa"/>
              <w:right w:w="120" w:type="dxa"/>
            </w:tcMar>
            <w:vAlign w:val="center"/>
          </w:tcPr>
          <w:p w14:paraId="218AD6EA">
            <w:pPr>
              <w:spacing w:after="0" w:line="264" w:lineRule="auto"/>
              <w:jc w:val="center"/>
            </w:pPr>
            <w:r>
              <w:rPr>
                <w:rFonts w:ascii="Times New Roman" w:hAnsi="Times New Roman" w:eastAsia="宋体"/>
                <w:color w:val="000000"/>
                <w:sz w:val="18"/>
              </w:rPr>
              <w:t>期刊投稿</w:t>
            </w:r>
          </w:p>
        </w:tc>
        <w:tc>
          <w:tcPr>
            <w:tcW w:w="6520" w:type="dxa"/>
            <w:shd w:val="clear" w:color="auto" w:fill="F3F7FA"/>
            <w:tcMar>
              <w:top w:w="100" w:type="dxa"/>
              <w:left w:w="120" w:type="dxa"/>
              <w:bottom w:w="100" w:type="dxa"/>
              <w:right w:w="120" w:type="dxa"/>
            </w:tcMar>
            <w:vAlign w:val="center"/>
          </w:tcPr>
          <w:p w14:paraId="632DA7AE">
            <w:pPr>
              <w:spacing w:after="0" w:line="264" w:lineRule="auto"/>
              <w:jc w:val="left"/>
            </w:pPr>
            <w:r>
              <w:rPr>
                <w:rFonts w:ascii="Times New Roman" w:hAnsi="Times New Roman" w:eastAsia="宋体"/>
                <w:color w:val="000000"/>
                <w:sz w:val="18"/>
              </w:rPr>
              <w:t>将成熟内容迁移到 JCDE 等目标期刊模板</w:t>
            </w:r>
          </w:p>
        </w:tc>
      </w:tr>
    </w:tbl>
    <w:p w14:paraId="62CFF042">
      <w:pPr>
        <w:widowControl/>
        <w:spacing w:after="0"/>
      </w:pPr>
      <w:r/>
    </w:p>
    <w:p w14:paraId="4545DA93">
      <w:pPr>
        <w:widowControl/>
      </w:pPr>
      <w:r/>
    </w:p>
    <w:p w14:paraId="45EE3FA0">
      <w:pPr>
        <w:pStyle w:val="3"/>
        <w:keepNext/>
        <w:widowControl/>
        <w:spacing w:before="200" w:after="80"/>
      </w:pPr>
      <w:r>
        <w:t>一 论文定位与核心论点</w:t>
      </w:r>
    </w:p>
    <w:p w14:paraId="4D0F81F5">
      <w:pPr>
        <w:pStyle w:val="4"/>
        <w:keepNext/>
        <w:widowControl/>
        <w:spacing w:before="140" w:after="80"/>
      </w:pPr>
      <w:r>
        <w:t>1 研究对象</w:t>
      </w:r>
    </w:p>
    <w:p w14:paraId="75BD85CC">
      <w:pPr>
        <w:widowControl/>
        <w:spacing w:after="80" w:line="324" w:lineRule="auto"/>
        <w:ind w:firstLine="420"/>
      </w:pPr>
      <w:r>
        <w:t>研究对象是完整飞机 STEP 模型中的 B-Rep 面。本文将铆钉定义为具有重复分布、局部凸起或凹陷及相对稳定边界拓扑的表面小特征；将表面特征定义为主体表面上的局部非主体结构面，形态可包含窗户、贴花等。铆钉属于表面特征的一个子类，但因形态规律和误报代价不同而作为独立标签建模。普通机身、机翼、尾翼和发动机壳体等面归为背景。模型执行面级三分类，并保留每个图节点到原始 STEP face_id 的映射。</w:t>
      </w:r>
    </w:p>
    <w:p w14:paraId="36FDCF8B">
      <w:pPr>
        <w:pStyle w:val="4"/>
        <w:keepNext/>
        <w:widowControl/>
        <w:spacing w:before="140" w:after="80"/>
      </w:pPr>
      <w:r>
        <w:t>2 核心研究问题</w:t>
      </w:r>
    </w:p>
    <w:p w14:paraId="6E31D4F4">
      <w:pPr>
        <w:widowControl/>
        <w:spacing w:after="80" w:line="324" w:lineRule="auto"/>
        <w:ind w:firstLine="420"/>
      </w:pPr>
      <w:r>
        <w:t>核心问题应表述为：在不同飞机的几何尺度、曲面类型和 B-Rep 拆面方式存在差异的情况下，如何利用面几何与邻接拓扑信息识别铆钉和表面特征，并在完整飞机级测试中获得可追溯、结构合理的预测结果。</w:t>
      </w:r>
    </w:p>
    <w:p w14:paraId="023921B6">
      <w:pPr>
        <w:pStyle w:val="4"/>
        <w:keepNext/>
        <w:widowControl/>
        <w:spacing w:before="140" w:after="80"/>
      </w:pPr>
      <w:r>
        <w:t>3 中心论点</w:t>
      </w:r>
    </w:p>
    <w:p w14:paraId="5AD9E570">
      <w:pPr>
        <w:widowControl/>
        <w:spacing w:after="80" w:line="324" w:lineRule="auto"/>
        <w:ind w:firstLine="420"/>
      </w:pPr>
      <w:r>
        <w:t>论文的中心论点是：局部面几何与邻接关系能够支持小特征识别，但铆钉和表面特征具有不同的形态模式和误判代价，因此采用两个独立专家编码器分别学习；在预测解释阶段，再从光滑连通组件的整体结构检查局部结果，分析局部预测与主体壳体结构是否一致。</w:t>
      </w:r>
    </w:p>
    <w:p w14:paraId="494B2D3B">
      <w:pPr>
        <w:pStyle w:val="4"/>
        <w:keepNext/>
        <w:widowControl/>
        <w:spacing w:before="140" w:after="80"/>
      </w:pPr>
      <w:r>
        <w:t>4 不作为中心论点的内容</w:t>
      </w:r>
    </w:p>
    <w:p w14:paraId="7889B6EE">
      <w:pPr>
        <w:pStyle w:val="16"/>
        <w:widowControl/>
        <w:spacing w:after="40" w:line="300" w:lineRule="auto"/>
        <w:ind w:left="425" w:hanging="198"/>
      </w:pPr>
      <w:r>
        <w:t>不把大型曲面误报描述为方法存在的前提，也不声称后处理可以保证绝对不误删。</w:t>
      </w:r>
    </w:p>
    <w:p w14:paraId="0B0D03AC">
      <w:pPr>
        <w:pStyle w:val="16"/>
        <w:widowControl/>
        <w:spacing w:after="40" w:line="300" w:lineRule="auto"/>
        <w:ind w:left="425" w:hanging="198"/>
      </w:pPr>
      <w:r>
        <w:t>不把 51 维失败模型作为正式方法；其价值仅限于说明组件级量直接进入节点分类可能引入错误归纳偏置。</w:t>
      </w:r>
    </w:p>
    <w:p w14:paraId="0F7B49F5">
      <w:pPr>
        <w:pStyle w:val="16"/>
        <w:widowControl/>
        <w:spacing w:after="40" w:line="300" w:lineRule="auto"/>
        <w:ind w:left="425" w:hanging="198"/>
      </w:pPr>
      <w:r>
        <w:t>不声称已经完成自动几何删除、模型修复或 CAE 仿真加速验证。</w:t>
      </w:r>
    </w:p>
    <w:p w14:paraId="71AD4FCA">
      <w:pPr>
        <w:pStyle w:val="16"/>
        <w:widowControl/>
        <w:spacing w:after="40" w:line="300" w:lineRule="auto"/>
        <w:ind w:left="425" w:hanging="198"/>
      </w:pPr>
      <w:r>
        <w:t>不以总体准确率作为唯一依据，必须同时报告类别指标、逐飞机表现和背景误报。</w:t>
      </w:r>
    </w:p>
    <w:p w14:paraId="70CAEF6E">
      <w:pPr>
        <w:pStyle w:val="3"/>
        <w:keepNext/>
        <w:widowControl/>
        <w:spacing w:before="200" w:after="80"/>
      </w:pPr>
      <w:r>
        <w:t>二 备选题目</w:t>
      </w:r>
    </w:p>
    <w:tbl>
      <w:tblPr>
        <w:tblStyle w:val="33"/>
        <w:tblW w:w="0" w:type="auto"/>
        <w:jc w:val="center"/>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Layout w:type="fixed"/>
        <w:tblCellMar>
          <w:top w:w="0" w:type="dxa"/>
          <w:left w:w="108" w:type="dxa"/>
          <w:bottom w:w="0" w:type="dxa"/>
          <w:right w:w="108" w:type="dxa"/>
        </w:tblCellMar>
      </w:tblPr>
      <w:tblGrid>
        <w:gridCol w:w="3135"/>
        <w:gridCol w:w="3135"/>
        <w:gridCol w:w="3135"/>
      </w:tblGrid>
      <w:tr w14:paraId="52C4A1FD">
        <w:trPr>
          <w:tblHeader/>
          <w:jc w:val="center"/>
        </w:trPr>
        <w:tc>
          <w:tcPr>
            <w:tcW w:w="1360" w:type="dxa"/>
            <w:shd w:val="clear" w:color="auto" w:fill="1F4E78"/>
            <w:tcMar>
              <w:top w:w="100" w:type="dxa"/>
              <w:left w:w="120" w:type="dxa"/>
              <w:bottom w:w="100" w:type="dxa"/>
              <w:right w:w="120" w:type="dxa"/>
            </w:tcMar>
            <w:vAlign w:val="center"/>
          </w:tcPr>
          <w:p w14:paraId="4B38E2B8">
            <w:pPr>
              <w:jc w:val="center"/>
            </w:pPr>
            <w:r>
              <w:rPr>
                <w:rFonts w:ascii="Times New Roman" w:hAnsi="Times New Roman" w:eastAsia="微软雅黑"/>
                <w:b/>
                <w:color w:val="FFFFFF"/>
                <w:sz w:val="17"/>
              </w:rPr>
              <w:t>推荐级别</w:t>
            </w:r>
          </w:p>
        </w:tc>
        <w:tc>
          <w:tcPr>
            <w:tcW w:w="4195" w:type="dxa"/>
            <w:shd w:val="clear" w:color="auto" w:fill="1F4E78"/>
            <w:tcMar>
              <w:top w:w="100" w:type="dxa"/>
              <w:left w:w="120" w:type="dxa"/>
              <w:bottom w:w="100" w:type="dxa"/>
              <w:right w:w="120" w:type="dxa"/>
            </w:tcMar>
            <w:vAlign w:val="center"/>
          </w:tcPr>
          <w:p w14:paraId="23A70FFA">
            <w:pPr>
              <w:jc w:val="center"/>
            </w:pPr>
            <w:r>
              <w:rPr>
                <w:rFonts w:ascii="Times New Roman" w:hAnsi="Times New Roman" w:eastAsia="微软雅黑"/>
                <w:b/>
                <w:color w:val="FFFFFF"/>
                <w:sz w:val="17"/>
              </w:rPr>
              <w:t>英文题目</w:t>
            </w:r>
          </w:p>
        </w:tc>
        <w:tc>
          <w:tcPr>
            <w:tcW w:w="2835" w:type="dxa"/>
            <w:shd w:val="clear" w:color="auto" w:fill="1F4E78"/>
            <w:tcMar>
              <w:top w:w="100" w:type="dxa"/>
              <w:left w:w="120" w:type="dxa"/>
              <w:bottom w:w="100" w:type="dxa"/>
              <w:right w:w="120" w:type="dxa"/>
            </w:tcMar>
            <w:vAlign w:val="center"/>
          </w:tcPr>
          <w:p w14:paraId="745274A3">
            <w:pPr>
              <w:jc w:val="center"/>
            </w:pPr>
            <w:r>
              <w:rPr>
                <w:rFonts w:ascii="Times New Roman" w:hAnsi="Times New Roman" w:eastAsia="微软雅黑"/>
                <w:b/>
                <w:color w:val="FFFFFF"/>
                <w:sz w:val="17"/>
              </w:rPr>
              <w:t>中文含义</w:t>
            </w:r>
          </w:p>
        </w:tc>
      </w:tr>
      <w:tr w14:paraId="1964485F">
        <w:trPr>
          <w:jc w:val="center"/>
        </w:trPr>
        <w:tc>
          <w:tcPr>
            <w:tcW w:w="1360" w:type="dxa"/>
            <w:tcMar>
              <w:top w:w="100" w:type="dxa"/>
              <w:left w:w="120" w:type="dxa"/>
              <w:bottom w:w="100" w:type="dxa"/>
              <w:right w:w="120" w:type="dxa"/>
            </w:tcMar>
            <w:vAlign w:val="center"/>
          </w:tcPr>
          <w:p w14:paraId="0FD998D6">
            <w:pPr>
              <w:spacing w:after="0" w:line="264" w:lineRule="auto"/>
              <w:jc w:val="center"/>
            </w:pPr>
            <w:r>
              <w:rPr>
                <w:rFonts w:ascii="Times New Roman" w:hAnsi="Times New Roman" w:eastAsia="宋体"/>
                <w:color w:val="000000"/>
                <w:sz w:val="17"/>
              </w:rPr>
              <w:t>首选</w:t>
            </w:r>
          </w:p>
        </w:tc>
        <w:tc>
          <w:tcPr>
            <w:tcW w:w="4195" w:type="dxa"/>
            <w:tcMar>
              <w:top w:w="100" w:type="dxa"/>
              <w:left w:w="120" w:type="dxa"/>
              <w:bottom w:w="100" w:type="dxa"/>
              <w:right w:w="120" w:type="dxa"/>
            </w:tcMar>
            <w:vAlign w:val="center"/>
          </w:tcPr>
          <w:p w14:paraId="55A63693">
            <w:pPr>
              <w:spacing w:after="0" w:line="264" w:lineRule="auto"/>
              <w:jc w:val="left"/>
            </w:pPr>
            <w:r>
              <w:rPr>
                <w:rFonts w:ascii="Times New Roman" w:hAnsi="Times New Roman" w:eastAsia="宋体"/>
                <w:color w:val="000000"/>
                <w:sz w:val="17"/>
              </w:rPr>
              <w:t>Dual-Specialist Graph Neural Networks for Small Feature Recognition in Aircraft B-Rep Models</w:t>
            </w:r>
          </w:p>
        </w:tc>
        <w:tc>
          <w:tcPr>
            <w:tcW w:w="2835" w:type="dxa"/>
            <w:tcMar>
              <w:top w:w="100" w:type="dxa"/>
              <w:left w:w="120" w:type="dxa"/>
              <w:bottom w:w="100" w:type="dxa"/>
              <w:right w:w="120" w:type="dxa"/>
            </w:tcMar>
            <w:vAlign w:val="center"/>
          </w:tcPr>
          <w:p w14:paraId="09792563">
            <w:pPr>
              <w:spacing w:after="0" w:line="264" w:lineRule="auto"/>
              <w:jc w:val="left"/>
            </w:pPr>
            <w:r>
              <w:rPr>
                <w:rFonts w:ascii="Times New Roman" w:hAnsi="Times New Roman" w:eastAsia="宋体"/>
                <w:color w:val="000000"/>
                <w:sz w:val="17"/>
              </w:rPr>
              <w:t>面向飞机 B-Rep 模型小特征识别的双专家图神经网络</w:t>
            </w:r>
          </w:p>
        </w:tc>
      </w:tr>
      <w:tr w14:paraId="5AA2B956">
        <w:trPr>
          <w:jc w:val="center"/>
        </w:trPr>
        <w:tc>
          <w:tcPr>
            <w:tcW w:w="1360" w:type="dxa"/>
            <w:shd w:val="clear" w:color="auto" w:fill="F3F7FA"/>
            <w:tcMar>
              <w:top w:w="100" w:type="dxa"/>
              <w:left w:w="120" w:type="dxa"/>
              <w:bottom w:w="100" w:type="dxa"/>
              <w:right w:w="120" w:type="dxa"/>
            </w:tcMar>
            <w:vAlign w:val="center"/>
          </w:tcPr>
          <w:p w14:paraId="28AB1A84">
            <w:pPr>
              <w:spacing w:after="0" w:line="264" w:lineRule="auto"/>
              <w:jc w:val="center"/>
            </w:pPr>
            <w:r>
              <w:rPr>
                <w:rFonts w:ascii="Times New Roman" w:hAnsi="Times New Roman" w:eastAsia="宋体"/>
                <w:color w:val="000000"/>
                <w:sz w:val="17"/>
              </w:rPr>
              <w:t>次选</w:t>
            </w:r>
          </w:p>
        </w:tc>
        <w:tc>
          <w:tcPr>
            <w:tcW w:w="4195" w:type="dxa"/>
            <w:shd w:val="clear" w:color="auto" w:fill="F3F7FA"/>
            <w:tcMar>
              <w:top w:w="100" w:type="dxa"/>
              <w:left w:w="120" w:type="dxa"/>
              <w:bottom w:w="100" w:type="dxa"/>
              <w:right w:w="120" w:type="dxa"/>
            </w:tcMar>
            <w:vAlign w:val="center"/>
          </w:tcPr>
          <w:p w14:paraId="253665C9">
            <w:pPr>
              <w:spacing w:after="0" w:line="264" w:lineRule="auto"/>
              <w:jc w:val="left"/>
            </w:pPr>
            <w:r>
              <w:rPr>
                <w:rFonts w:ascii="Times New Roman" w:hAnsi="Times New Roman" w:eastAsia="宋体"/>
                <w:color w:val="000000"/>
                <w:sz w:val="17"/>
              </w:rPr>
              <w:t>Graph-Based Recognition of Rivets and Surface Features in Aircraft STEP Models</w:t>
            </w:r>
          </w:p>
        </w:tc>
        <w:tc>
          <w:tcPr>
            <w:tcW w:w="2835" w:type="dxa"/>
            <w:shd w:val="clear" w:color="auto" w:fill="F3F7FA"/>
            <w:tcMar>
              <w:top w:w="100" w:type="dxa"/>
              <w:left w:w="120" w:type="dxa"/>
              <w:bottom w:w="100" w:type="dxa"/>
              <w:right w:w="120" w:type="dxa"/>
            </w:tcMar>
            <w:vAlign w:val="center"/>
          </w:tcPr>
          <w:p w14:paraId="2C033FA7">
            <w:pPr>
              <w:spacing w:after="0" w:line="264" w:lineRule="auto"/>
              <w:jc w:val="left"/>
            </w:pPr>
            <w:r>
              <w:rPr>
                <w:rFonts w:ascii="Times New Roman" w:hAnsi="Times New Roman" w:eastAsia="宋体"/>
                <w:color w:val="000000"/>
                <w:sz w:val="17"/>
              </w:rPr>
              <w:t>飞机 STEP 模型中铆钉与表面特征的图学习识别</w:t>
            </w:r>
          </w:p>
        </w:tc>
      </w:tr>
      <w:tr w14:paraId="42A3AB53">
        <w:trPr>
          <w:jc w:val="center"/>
        </w:trPr>
        <w:tc>
          <w:tcPr>
            <w:tcW w:w="1360" w:type="dxa"/>
            <w:tcMar>
              <w:top w:w="100" w:type="dxa"/>
              <w:left w:w="120" w:type="dxa"/>
              <w:bottom w:w="100" w:type="dxa"/>
              <w:right w:w="120" w:type="dxa"/>
            </w:tcMar>
            <w:vAlign w:val="center"/>
          </w:tcPr>
          <w:p w14:paraId="25BD1B5D">
            <w:pPr>
              <w:spacing w:after="0" w:line="264" w:lineRule="auto"/>
              <w:jc w:val="center"/>
            </w:pPr>
            <w:r>
              <w:rPr>
                <w:rFonts w:ascii="Times New Roman" w:hAnsi="Times New Roman" w:eastAsia="宋体"/>
                <w:color w:val="000000"/>
                <w:sz w:val="17"/>
              </w:rPr>
              <w:t>实验充分后可用</w:t>
            </w:r>
          </w:p>
        </w:tc>
        <w:tc>
          <w:tcPr>
            <w:tcW w:w="4195" w:type="dxa"/>
            <w:tcMar>
              <w:top w:w="100" w:type="dxa"/>
              <w:left w:w="120" w:type="dxa"/>
              <w:bottom w:w="100" w:type="dxa"/>
              <w:right w:w="120" w:type="dxa"/>
            </w:tcMar>
            <w:vAlign w:val="center"/>
          </w:tcPr>
          <w:p w14:paraId="743AC7B9">
            <w:pPr>
              <w:spacing w:after="0" w:line="264" w:lineRule="auto"/>
              <w:jc w:val="left"/>
            </w:pPr>
            <w:r>
              <w:rPr>
                <w:rFonts w:ascii="Times New Roman" w:hAnsi="Times New Roman" w:eastAsia="宋体"/>
                <w:color w:val="000000"/>
                <w:sz w:val="17"/>
              </w:rPr>
              <w:t>Dual-Specialist Graph Learning with Component-Level Topology Consistency for Aircraft B-Rep Feature Recognition</w:t>
            </w:r>
          </w:p>
        </w:tc>
        <w:tc>
          <w:tcPr>
            <w:tcW w:w="2835" w:type="dxa"/>
            <w:tcMar>
              <w:top w:w="100" w:type="dxa"/>
              <w:left w:w="120" w:type="dxa"/>
              <w:bottom w:w="100" w:type="dxa"/>
              <w:right w:w="120" w:type="dxa"/>
            </w:tcMar>
            <w:vAlign w:val="center"/>
          </w:tcPr>
          <w:p w14:paraId="6A3C5905">
            <w:pPr>
              <w:spacing w:after="0" w:line="264" w:lineRule="auto"/>
              <w:jc w:val="left"/>
            </w:pPr>
            <w:r>
              <w:rPr>
                <w:rFonts w:ascii="Times New Roman" w:hAnsi="Times New Roman" w:eastAsia="宋体"/>
                <w:color w:val="000000"/>
                <w:sz w:val="17"/>
              </w:rPr>
              <w:t>融合组件级拓扑一致性的飞机 B-Rep 双专家图学习识别</w:t>
            </w:r>
          </w:p>
        </w:tc>
      </w:tr>
    </w:tbl>
    <w:p w14:paraId="5CBB504C">
      <w:pPr>
        <w:widowControl/>
        <w:spacing w:after="0"/>
      </w:pPr>
      <w:r/>
    </w:p>
    <w:p w14:paraId="20CCCD07">
      <w:pPr>
        <w:widowControl/>
        <w:spacing w:after="80" w:line="324" w:lineRule="auto"/>
        <w:ind w:firstLine="420"/>
      </w:pPr>
      <w:r>
        <w:t>现阶段建议使用第一个题目。只有在拓扑一致性校核完成系统消融，并证明能减少高风险背景误报且不明显降低真实特征的识别完整性时，才建议把该机制写入标题。</w:t>
      </w:r>
    </w:p>
    <w:p w14:paraId="557A2B7C">
      <w:pPr>
        <w:pStyle w:val="3"/>
        <w:keepNext/>
        <w:widowControl/>
        <w:spacing w:before="200" w:after="80"/>
      </w:pPr>
      <w:r>
        <w:t>三 全文逻辑链</w:t>
      </w:r>
    </w:p>
    <w:p w14:paraId="178B8B55">
      <w:pPr>
        <w:widowControl/>
        <w:spacing w:after="40" w:line="300" w:lineRule="auto"/>
        <w:ind w:left="425" w:hanging="198"/>
      </w:pPr>
      <w:r>
        <w:t>1. 从仿真前处理角度看，铆钉、窗户和贴花等小特征会显著增加网格面数、网格生成成本与模型管理负担，而在研究目标允许的情况下对整体仿真响应影响有限。因此，对已可靠识别并经几何与仿真验证的小特征进行抑制，是一种具有工程经济性的模型简化路径。</w:t>
      </w:r>
    </w:p>
    <w:p w14:paraId="3BDEFF34">
      <w:pPr>
        <w:widowControl/>
        <w:spacing w:after="40" w:line="300" w:lineRule="auto"/>
        <w:ind w:left="425" w:hanging="198"/>
      </w:pPr>
      <w:r>
        <w:t>2. 传统固定尺寸或面积规则难以适应不同飞机尺度和不同 B-Rep 拆面方式，也可能过滤真实的大面积表面特征。</w:t>
      </w:r>
    </w:p>
    <w:p w14:paraId="013690D7">
      <w:pPr>
        <w:widowControl/>
        <w:spacing w:after="40" w:line="300" w:lineRule="auto"/>
        <w:ind w:left="425" w:hanging="198"/>
      </w:pPr>
      <w:r>
        <w:t>3. 将 B-Rep 转换为面属性邻接图，使模型能够联合利用面几何、局部拓扑和面间关系。</w:t>
      </w:r>
    </w:p>
    <w:p w14:paraId="159F89F6">
      <w:pPr>
        <w:widowControl/>
        <w:spacing w:after="40" w:line="300" w:lineRule="auto"/>
        <w:ind w:left="425" w:hanging="198"/>
      </w:pPr>
      <w:r>
        <w:t>4. 针对铆钉与表面特征的形态差异，构建两个独立 GNN 专家，并在输出阶段完成三类决策融合。</w:t>
      </w:r>
    </w:p>
    <w:p w14:paraId="63D8A166">
      <w:pPr>
        <w:widowControl/>
        <w:spacing w:after="40" w:line="300" w:lineRule="auto"/>
        <w:ind w:left="425" w:hanging="198"/>
      </w:pPr>
      <w:r>
        <w:t>5. 按照完整飞机划分训练集和测试集，检验模型对未见飞机的跨模型泛化能力。</w:t>
      </w:r>
    </w:p>
    <w:p w14:paraId="277159B4">
      <w:pPr>
        <w:widowControl/>
        <w:spacing w:after="40" w:line="300" w:lineRule="auto"/>
        <w:ind w:left="425" w:hanging="198"/>
      </w:pPr>
      <w:r>
        <w:t>6. 对面级预测开展组件级拓扑一致性分析，以解释和约束与主体光滑壳体结构不一致的候选结果。</w:t>
      </w:r>
    </w:p>
    <w:p w14:paraId="16379112">
      <w:pPr>
        <w:widowControl/>
        <w:spacing w:after="40" w:line="300" w:lineRule="auto"/>
        <w:ind w:left="425" w:hanging="198"/>
      </w:pPr>
      <w:r>
        <w:t>7. 输出与原始 face_id 对齐的候选面，为未来经人工确认或自动校验后的 CAD 简化提供基础。</w:t>
      </w:r>
    </w:p>
    <w:p w14:paraId="6304DCE7">
      <w:pPr>
        <w:pStyle w:val="3"/>
        <w:keepNext/>
        <w:widowControl/>
        <w:spacing w:before="200" w:after="80"/>
      </w:pPr>
      <w:r>
        <w:t>四 论文详细章节大纲</w:t>
      </w:r>
    </w:p>
    <w:p w14:paraId="2991AC15">
      <w:pPr>
        <w:pStyle w:val="4"/>
        <w:keepNext/>
        <w:widowControl/>
        <w:spacing w:before="140" w:after="80"/>
      </w:pPr>
      <w:r>
        <w:t>1 Introduction</w:t>
      </w:r>
    </w:p>
    <w:p w14:paraId="5B533B20">
      <w:pPr>
        <w:pStyle w:val="5"/>
        <w:keepNext/>
        <w:widowControl/>
        <w:spacing w:before="140" w:after="80"/>
      </w:pPr>
      <w:r>
        <w:t>1.1 工程背景</w:t>
      </w:r>
    </w:p>
    <w:p w14:paraId="49DFC8CB">
      <w:pPr>
        <w:widowControl/>
        <w:spacing w:after="80" w:line="324" w:lineRule="auto"/>
        <w:ind w:firstLine="420"/>
      </w:pPr>
      <w:r>
        <w:t>说明高保真飞机 CAD 模型中包含大量局部细节。对于面向网格划分和仿真的模型准备，识别可移除特征是实现几何简化的前提。本研究聚焦识别与候选生成，不把尚未验证的删除效果写入实验结论。</w:t>
      </w:r>
    </w:p>
    <w:p w14:paraId="3F730745">
      <w:pPr>
        <w:pStyle w:val="5"/>
        <w:keepNext/>
        <w:widowControl/>
        <w:spacing w:before="140" w:after="80"/>
      </w:pPr>
      <w:r>
        <w:t>1.2 研究难点</w:t>
      </w:r>
    </w:p>
    <w:p w14:paraId="149147EB">
      <w:pPr>
        <w:pStyle w:val="16"/>
        <w:widowControl/>
        <w:spacing w:after="40" w:line="300" w:lineRule="auto"/>
        <w:ind w:left="425" w:hanging="198"/>
      </w:pPr>
      <w:r>
        <w:t>不同飞机具有明显的尺度、构型和建模来源差异。</w:t>
      </w:r>
    </w:p>
    <w:p w14:paraId="63709C65">
      <w:pPr>
        <w:pStyle w:val="16"/>
        <w:widowControl/>
        <w:spacing w:after="40" w:line="300" w:lineRule="auto"/>
        <w:ind w:left="425" w:hanging="198"/>
      </w:pPr>
      <w:r>
        <w:t>同一语义特征在 STEP 中可能被拆分为不同数量、类型和尺度的面。</w:t>
      </w:r>
    </w:p>
    <w:p w14:paraId="4D589144">
      <w:pPr>
        <w:pStyle w:val="16"/>
        <w:widowControl/>
        <w:spacing w:after="40" w:line="300" w:lineRule="auto"/>
        <w:ind w:left="425" w:hanging="198"/>
      </w:pPr>
      <w:r>
        <w:t>背景面数量远多于目标面，且局部曲面属性可能与窗户或贴花相似。</w:t>
      </w:r>
    </w:p>
    <w:p w14:paraId="58D97922">
      <w:pPr>
        <w:pStyle w:val="16"/>
        <w:widowControl/>
        <w:spacing w:after="40" w:line="300" w:lineRule="auto"/>
        <w:ind w:left="425" w:hanging="198"/>
      </w:pPr>
      <w:r>
        <w:t>铆钉识别既要尽量找全真实铆钉，也要避免把普通曲面错认成铆钉；表面特征的形态更加多样，两类目标的识别难点和错误影响不同。</w:t>
      </w:r>
    </w:p>
    <w:p w14:paraId="41AB585A">
      <w:pPr>
        <w:pStyle w:val="5"/>
        <w:keepNext/>
        <w:widowControl/>
        <w:spacing w:before="140" w:after="80"/>
      </w:pPr>
      <w:r>
        <w:t>1.3 研究缺口</w:t>
      </w:r>
    </w:p>
    <w:p w14:paraId="2C9D8FDE">
      <w:pPr>
        <w:widowControl/>
        <w:spacing w:after="80" w:line="324" w:lineRule="auto"/>
        <w:ind w:firstLine="420"/>
      </w:pPr>
      <w:r>
        <w:t>现有 CAD 特征识别研究多关注加工特征或通用面分割，对完整飞机模型中铆钉和表面特征的联合识别、整机级数据划分、跨模型误报分析以及预测到原始 STEP 面的可追溯性讨论不足。</w:t>
      </w:r>
    </w:p>
    <w:p w14:paraId="62ADB133">
      <w:pPr>
        <w:pStyle w:val="5"/>
        <w:keepNext/>
        <w:widowControl/>
        <w:spacing w:before="140" w:after="80"/>
      </w:pPr>
      <w:r>
        <w:t>1.4 论文贡献</w:t>
      </w:r>
    </w:p>
    <w:p w14:paraId="260CBA43">
      <w:pPr>
        <w:widowControl/>
        <w:spacing w:after="40" w:line="300" w:lineRule="auto"/>
        <w:ind w:left="737" w:hanging="198"/>
      </w:pPr>
      <w:r>
        <w:t>1. 构建面向完整飞机 STEP 模型的 B-Rep 面图表达与三类标签体系。</w:t>
      </w:r>
    </w:p>
    <w:p w14:paraId="2C018F4B">
      <w:pPr>
        <w:widowControl/>
        <w:spacing w:after="40" w:line="300" w:lineRule="auto"/>
        <w:ind w:left="737" w:hanging="198"/>
      </w:pPr>
      <w:r>
        <w:t>2. 提出双专家图神经网络，分别学习铆钉和表面特征并融合为统一面级输出。</w:t>
      </w:r>
    </w:p>
    <w:p w14:paraId="3FC66784">
      <w:pPr>
        <w:widowControl/>
        <w:spacing w:after="40" w:line="300" w:lineRule="auto"/>
        <w:ind w:left="737" w:hanging="198"/>
      </w:pPr>
      <w:r>
        <w:t>3. 建立模型级训练测试协议，以未见完整飞机而不是随机面划分评价泛化能力。</w:t>
      </w:r>
    </w:p>
    <w:p w14:paraId="63A063A6">
      <w:pPr>
        <w:widowControl/>
        <w:spacing w:after="40" w:line="300" w:lineRule="auto"/>
        <w:ind w:left="737" w:hanging="198"/>
      </w:pPr>
      <w:r>
        <w:t>4. 提出组件级拓扑一致性分析框架，并讨论其相对于固定面积阈值的适用性。</w:t>
      </w:r>
    </w:p>
    <w:p w14:paraId="7F115EAF">
      <w:pPr>
        <w:widowControl/>
        <w:spacing w:after="40" w:line="300" w:lineRule="auto"/>
        <w:ind w:left="737" w:hanging="198"/>
      </w:pPr>
      <w:r>
        <w:t>5. 实现预测类别、概率和原始 face_id 的一致映射，为后续 CAD 操作提供可审计输入。</w:t>
      </w:r>
    </w:p>
    <w:p w14:paraId="61709537">
      <w:pPr>
        <w:pStyle w:val="4"/>
        <w:keepNext/>
        <w:widowControl/>
        <w:spacing w:before="140" w:after="80"/>
      </w:pPr>
      <w:r>
        <w:t>2 Related Work</w:t>
      </w:r>
    </w:p>
    <w:p w14:paraId="72ED96E1">
      <w:pPr>
        <w:pStyle w:val="5"/>
        <w:keepNext/>
        <w:widowControl/>
        <w:spacing w:before="140" w:after="80"/>
      </w:pPr>
      <w:r>
        <w:t>2.1 CAD 模型简化与特征抑制</w:t>
      </w:r>
    </w:p>
    <w:p w14:paraId="2660A22F">
      <w:pPr>
        <w:widowControl/>
        <w:spacing w:after="80" w:line="324" w:lineRule="auto"/>
        <w:ind w:firstLine="420"/>
      </w:pPr>
      <w:r>
        <w:t>回顾基于几何规则、特征模板和 B-Rep 修复的模型简化方法，指出其通常需要预定义特征结构或人工阈值。</w:t>
      </w:r>
    </w:p>
    <w:p w14:paraId="643320AA">
      <w:pPr>
        <w:pStyle w:val="5"/>
        <w:keepNext/>
        <w:widowControl/>
        <w:spacing w:before="140" w:after="80"/>
      </w:pPr>
      <w:r>
        <w:t>2.2 B-Rep 面图与 CAD 特征识别</w:t>
      </w:r>
    </w:p>
    <w:p w14:paraId="194DF702">
      <w:pPr>
        <w:widowControl/>
        <w:spacing w:after="80" w:line="324" w:lineRule="auto"/>
        <w:ind w:firstLine="420"/>
      </w:pPr>
      <w:r>
        <w:t>介绍属性邻接图、面邻接图以及曲面类型、边类型、凹凸关系和局部拓扑在特征识别中的作用。</w:t>
      </w:r>
    </w:p>
    <w:p w14:paraId="57643767">
      <w:pPr>
        <w:pStyle w:val="5"/>
        <w:keepNext/>
        <w:widowControl/>
        <w:spacing w:before="140" w:after="80"/>
      </w:pPr>
      <w:r>
        <w:t>2.3 图神经网络在 CAD 中的应用</w:t>
      </w:r>
    </w:p>
    <w:p w14:paraId="41BDC29D">
      <w:pPr>
        <w:widowControl/>
        <w:spacing w:after="80" w:line="324" w:lineRule="auto"/>
        <w:ind w:firstLine="420"/>
      </w:pPr>
      <w:r>
        <w:t>梳理 BRepNet、AAGNet 等代表性路线，重点比较图节点和边特征、消息传递范围、数据划分方式以及面级评价指标。正式写作时应以原论文和官方资料核实引用。</w:t>
      </w:r>
    </w:p>
    <w:p w14:paraId="0966F324">
      <w:pPr>
        <w:pStyle w:val="5"/>
        <w:keepNext/>
        <w:widowControl/>
        <w:spacing w:before="140" w:after="80"/>
      </w:pPr>
      <w:r>
        <w:t>2.4 研究定位</w:t>
      </w:r>
    </w:p>
    <w:p w14:paraId="11ED87C8">
      <w:pPr>
        <w:widowControl/>
        <w:spacing w:after="80" w:line="324" w:lineRule="auto"/>
        <w:ind w:firstLine="420"/>
      </w:pPr>
      <w:r>
        <w:t>说明本文不是复现通用加工特征识别，而是面向飞机整机模型的异质小特征识别，突出双专家学习、整机级泛化和 STEP 面映射。</w:t>
      </w:r>
    </w:p>
    <w:p w14:paraId="7D1F7CC5">
      <w:pPr>
        <w:pStyle w:val="4"/>
        <w:keepNext/>
        <w:widowControl/>
        <w:spacing w:before="140" w:after="80"/>
      </w:pPr>
      <w:r>
        <w:t>3 Problem Formulation and Method Overview</w:t>
      </w:r>
    </w:p>
    <w:p w14:paraId="12F468C4">
      <w:pPr>
        <w:pStyle w:val="5"/>
        <w:keepNext/>
        <w:widowControl/>
        <w:spacing w:before="140" w:after="80"/>
      </w:pPr>
      <w:r>
        <w:t>3.1 Graph-based Face Classification Definition</w:t>
      </w:r>
    </w:p>
    <w:p w14:paraId="3932BDBC">
      <w:pPr>
        <w:widowControl/>
        <w:spacing w:after="80" w:line="324" w:lineRule="auto"/>
        <w:ind w:firstLine="420"/>
      </w:pPr>
      <w:r>
        <w:t>将每个飞机 STEP 模型表示为图 G=(V,E)，其中 V={v_i} 为 B-Rep 面节点集合，v_i 对应一个 STEP face，E 为共享边界或定义的拓扑邻接关系。每个节点携带 48 维特征向量 x_i∈R^48，标签 y_i∈{0,1,2} 分别表示 background、rivet 和 surface_feature。虽然铆钉属于表面小特征，但因形态与风险结构不同，训练时作为独立类别。目标是学习 f_θ(G,X)→Ŷ，使未见飞机上的面级分类误差最小，并保持 face_id 映射可追溯。</w:t>
      </w:r>
    </w:p>
    <w:p w14:paraId="3C2C30B6">
      <w:pPr>
        <w:pStyle w:val="5"/>
        <w:keepNext/>
        <w:widowControl/>
        <w:spacing w:before="140" w:after="80"/>
      </w:pPr>
      <w:r>
        <w:t>3.2 Mathematical Form of the Framework</w:t>
      </w:r>
    </w:p>
    <w:p w14:paraId="230548E9">
      <w:pPr>
        <w:widowControl/>
        <w:spacing w:after="80" w:line="324" w:lineRule="auto"/>
        <w:ind w:firstLine="420"/>
      </w:pPr>
      <w:r>
        <w:t>模型由共享图表示、铆钉专家和表面特征专家组成。对第 l 层图表示 H^(l)，通过消息传递聚合邻域信息：H^(l+1)=Φ_l(H^(l),E)。两个专家分别输出类别概率 p_i^rivet 和 p_i^surface，融合器根据专家置信度与拓扑一致性得到最终概率 p_i；训练目标为加权交叉熵与拓扑一致性正则项之和，使分类精度、少数类召回率和局部结构稳定性共同优化。</w:t>
      </w:r>
    </w:p>
    <w:p w14:paraId="2DF84BC9">
      <w:pPr>
        <w:pStyle w:val="5"/>
        <w:keepNext/>
        <w:widowControl/>
        <w:spacing w:before="140" w:after="80"/>
      </w:pPr>
      <w:r>
        <w:t>3.3 Output and Traceability Contract</w:t>
      </w:r>
    </w:p>
    <w:p w14:paraId="7915D679">
      <w:pPr>
        <w:widowControl/>
        <w:spacing w:after="80" w:line="324" w:lineRule="auto"/>
        <w:ind w:firstLine="420"/>
      </w:pPr>
      <w:r>
        <w:t>说明模型权重必须与配套 stats 文件共同使用；输出至少应包含 STEP 文件名、face_id、预测类别、类别概率、模型名称及必要的推理参数。</w:t>
      </w:r>
    </w:p>
    <w:p w14:paraId="5ABAB09F">
      <w:pPr>
        <w:pStyle w:val="4"/>
        <w:keepNext/>
        <w:widowControl/>
        <w:spacing w:before="140" w:after="80"/>
      </w:pPr>
      <w:r>
        <w:t>4 Dataset and Graph Representation</w:t>
      </w:r>
    </w:p>
    <w:p w14:paraId="3CC7D691">
      <w:pPr>
        <w:pStyle w:val="5"/>
        <w:keepNext/>
        <w:widowControl/>
        <w:spacing w:before="140" w:after="80"/>
      </w:pPr>
      <w:r>
        <w:t>4.1 数据与标签</w:t>
      </w:r>
    </w:p>
    <w:p w14:paraId="04D35676">
      <w:pPr>
        <w:widowControl/>
        <w:spacing w:after="80" w:line="324" w:lineRule="auto"/>
        <w:ind w:firstLine="420"/>
      </w:pPr>
      <w:r>
        <w:t>说明铆钉和表面特征的定义、标注原则与质量控制流程。标注以 STEP face 为基本单位，并通过可视化复核、JSON 记录和 face_id 对齐确保监督可靠；训练监督统一使用 background、rivet、surface_feature 三类，来源信息仅作为数据审计元数据，不作为论文分类概念。</w:t>
      </w:r>
    </w:p>
    <w:p w14:paraId="3D57BFCA">
      <w:pPr>
        <w:pStyle w:val="5"/>
        <w:keepNext/>
        <w:widowControl/>
        <w:spacing w:before="140" w:after="80"/>
      </w:pPr>
      <w:r>
        <w:t>4.2 模型级数据划分</w:t>
      </w:r>
    </w:p>
    <w:p w14:paraId="7963F121">
      <w:pPr>
        <w:widowControl/>
        <w:spacing w:after="80" w:line="324" w:lineRule="auto"/>
        <w:ind w:firstLine="420"/>
      </w:pPr>
      <w:r>
        <w:t>正式实验使用 17 架飞机训练、4 架完整飞机测试，不设置验证集。测试集由 109、DC-10、747-400 和 Gulfstream G280 组成，共 3631 个面。必须解释模型级划分用于避免同一飞机相似面跨集合造成信息泄漏。</w:t>
      </w:r>
    </w:p>
    <w:p w14:paraId="01A8B05C">
      <w:pPr>
        <w:pStyle w:val="5"/>
        <w:keepNext/>
        <w:widowControl/>
        <w:spacing w:before="140" w:after="80"/>
      </w:pPr>
      <w:r>
        <w:t>4.3 节点特征</w:t>
      </w:r>
    </w:p>
    <w:p w14:paraId="717554FD">
      <w:pPr>
        <w:widowControl/>
        <w:spacing w:after="80" w:line="324" w:lineRule="auto"/>
        <w:ind w:firstLine="420"/>
      </w:pPr>
      <w:r>
        <w:t>正式模型采用 48 维面节点特征向量。这里的“节点”指图中的一个 B-Rep 面，不是几何顶点；48 维表示描述该面的 48 个数值特征。正文按曲面类型、尺度与面积、曲率、UV 和形状统计、边界环、邻域法向及局部拓扑等类别概括；完整字段、计算公式和归一化方式放入附录。绝对坐标和三个光滑组件量不进入正式模型输入。</w:t>
      </w:r>
    </w:p>
    <w:p w14:paraId="3BA7EDC0">
      <w:pPr>
        <w:pStyle w:val="5"/>
        <w:keepNext/>
        <w:widowControl/>
        <w:spacing w:before="140" w:after="80"/>
      </w:pPr>
      <w:r>
        <w:t>4.4 边特征与图构建</w:t>
      </w:r>
    </w:p>
    <w:p w14:paraId="6AED194E">
      <w:pPr>
        <w:widowControl/>
        <w:spacing w:after="80" w:line="324" w:lineRule="auto"/>
        <w:ind w:firstLine="420"/>
      </w:pPr>
      <w:r>
        <w:t>说明共享边、凹凸或光滑关系、二面角和相对几何量如何编码，给出有向或双向边构建方式，并说明孤立面、重复边和缺失值的处理。</w:t>
      </w:r>
    </w:p>
    <w:p w14:paraId="3E951F7A">
      <w:pPr>
        <w:pStyle w:val="4"/>
        <w:keepNext/>
        <w:widowControl/>
        <w:spacing w:before="140" w:after="80"/>
      </w:pPr>
      <w:r>
        <w:t>5 Dual-Specialist Graph Neural Network</w:t>
      </w:r>
    </w:p>
    <w:p w14:paraId="6D764502">
      <w:pPr>
        <w:pStyle w:val="5"/>
        <w:keepNext/>
        <w:widowControl/>
        <w:spacing w:before="140" w:after="80"/>
      </w:pPr>
      <w:r>
        <w:t>5.1 设计动机</w:t>
      </w:r>
    </w:p>
    <w:p w14:paraId="18406C1F">
      <w:pPr>
        <w:widowControl/>
        <w:spacing w:after="80" w:line="324" w:lineRule="auto"/>
        <w:ind w:firstLine="420"/>
      </w:pPr>
      <w:r>
        <w:t>本文把铆钉定义为表面小特征中的一类，通常具有重复分布、局部凸起或凹陷和相对稳定的边界拓扑；把表面特征定义为主体表面上的局部非主体结构面，形态可包含窗户、贴花等。二者在任务分类上存在包含关系，但铆钉更依赖重复性和局部拓扑，其他表面特征形态更分散、风险代价不同，因此采用独立专家并在输出端融合。</w:t>
      </w:r>
    </w:p>
    <w:p w14:paraId="61D67313">
      <w:pPr>
        <w:pStyle w:val="5"/>
        <w:keepNext/>
        <w:widowControl/>
        <w:spacing w:before="140" w:after="80"/>
      </w:pPr>
      <w:r>
        <w:t>5.2 专家编码器</w:t>
      </w:r>
    </w:p>
    <w:p w14:paraId="1C86BBD9">
      <w:pPr>
        <w:widowControl/>
        <w:spacing w:after="80" w:line="324" w:lineRule="auto"/>
        <w:ind w:firstLine="420"/>
      </w:pPr>
      <w:r>
        <w:t>分别描述 rivet specialist 和 surface specialist 的消息传递层、隐藏维度、激活函数、归一化、残差或 dropout。论文应根据当前代码和 checkpoint 契约填写精确参数，不从历史文档推断。</w:t>
      </w:r>
    </w:p>
    <w:p w14:paraId="0AB38DBA">
      <w:pPr>
        <w:pStyle w:val="5"/>
        <w:keepNext/>
        <w:widowControl/>
        <w:spacing w:before="140" w:after="80"/>
      </w:pPr>
      <w:r>
        <w:t>5.3 训练目标</w:t>
      </w:r>
    </w:p>
    <w:p w14:paraId="074B2D0A">
      <w:pPr>
        <w:widowControl/>
        <w:spacing w:after="80" w:line="324" w:lineRule="auto"/>
        <w:ind w:firstLine="420"/>
      </w:pPr>
      <w:r>
        <w:t>分别定义两个二分类损失及其权重，说明类别不平衡处理、背景采样方式、优化器、学习率、训练轮数和随机种子。需要明确测试集没有参与训练参数更新。</w:t>
      </w:r>
    </w:p>
    <w:p w14:paraId="0F6ABD4B">
      <w:pPr>
        <w:pStyle w:val="5"/>
        <w:keepNext/>
        <w:widowControl/>
        <w:spacing w:before="140" w:after="80"/>
      </w:pPr>
      <w:r>
        <w:t>5.4 决策融合</w:t>
      </w:r>
    </w:p>
    <w:p w14:paraId="07867C15">
      <w:pPr>
        <w:widowControl/>
        <w:spacing w:after="80" w:line="324" w:lineRule="auto"/>
        <w:ind w:firstLine="420"/>
      </w:pPr>
      <w:r>
        <w:t>说明两个专家概率如何通过固定阈值转换为三类标签，以及同时满足两个前景条件时的冲突处理方式。当前流程采用铆钉优先逻辑时，应在算法描述与伪代码中明确。</w:t>
      </w:r>
    </w:p>
    <w:p w14:paraId="763C71AA">
      <w:pPr>
        <w:pStyle w:val="4"/>
        <w:keepNext/>
        <w:widowControl/>
        <w:spacing w:before="140" w:after="80"/>
      </w:pPr>
      <w:r>
        <w:t>6 Component-Level Topology Consistency Analysis</w:t>
      </w:r>
    </w:p>
    <w:p w14:paraId="71558E84">
      <w:pPr>
        <w:pStyle w:val="5"/>
        <w:keepNext/>
        <w:widowControl/>
        <w:spacing w:before="140" w:after="80"/>
      </w:pPr>
      <w:r>
        <w:t>6.1 方法定位</w:t>
      </w:r>
    </w:p>
    <w:p w14:paraId="382FB209">
      <w:pPr>
        <w:widowControl/>
        <w:spacing w:after="80" w:line="324" w:lineRule="auto"/>
        <w:ind w:firstLine="420"/>
      </w:pPr>
      <w:r>
        <w:t>本节不以‘模型无法识别大小’为动机，而以‘局部面级预测可能与完整 B-Rep 的全局结构角色不一致’为动机。该模块属于预测解释和结构一致性校核，不替代 GNN 的类别学习。</w:t>
      </w:r>
    </w:p>
    <w:p w14:paraId="13CD0A89">
      <w:pPr>
        <w:pStyle w:val="5"/>
        <w:keepNext/>
        <w:widowControl/>
        <w:spacing w:before="140" w:after="80"/>
      </w:pPr>
      <w:r>
        <w:t>6.2 光滑组件构建</w:t>
      </w:r>
    </w:p>
    <w:p w14:paraId="59DE75B4">
      <w:pPr>
        <w:widowControl/>
        <w:spacing w:after="80" w:line="324" w:lineRule="auto"/>
        <w:ind w:firstLine="420"/>
      </w:pPr>
      <w:r>
        <w:t>基于相邻面的同域或切向连续关系构建光滑连通组件，并为每个预测面计算组件归一化面积、组件面数以及该面面积占组件面积的比例。三个量只在推理阶段使用。</w:t>
      </w:r>
    </w:p>
    <w:p w14:paraId="5F8690B4">
      <w:pPr>
        <w:pStyle w:val="5"/>
        <w:keepNext/>
        <w:widowControl/>
        <w:spacing w:before="140" w:after="80"/>
      </w:pPr>
      <w:r>
        <w:t>6.3 与固定面积阈值的区别</w:t>
      </w:r>
    </w:p>
    <w:p w14:paraId="4A528BB2">
      <w:pPr>
        <w:widowControl/>
        <w:spacing w:after="80" w:line="324" w:lineRule="auto"/>
        <w:ind w:firstLine="420"/>
      </w:pPr>
      <w:r>
        <w:t>固定面积阈值直接把大面排除，但训练真值中存在面积较大的合法 surface_feature。组件级分析关注面在整体光滑组件中的结构角色，因此应通过实验比较两者对高风险误报和真实特征召回的影响。</w:t>
      </w:r>
    </w:p>
    <w:p w14:paraId="2E5735DB">
      <w:pPr>
        <w:pStyle w:val="5"/>
        <w:keepNext/>
        <w:widowControl/>
        <w:spacing w:before="140" w:after="80"/>
      </w:pPr>
      <w:r>
        <w:t>6.4 写作边界</w:t>
      </w:r>
    </w:p>
    <w:p w14:paraId="2CD2BA2C">
      <w:pPr>
        <w:widowControl/>
        <w:spacing w:after="80" w:line="324" w:lineRule="auto"/>
        <w:ind w:firstLine="420"/>
      </w:pPr>
      <w:r>
        <w:t>如果当前机制尚未完成统一阈值、独立测试和消融验证，则将本节写为结构一致性分析或候选校核，不把它宣称为主要算法贡献，也不在标题中突出。</w:t>
      </w:r>
    </w:p>
    <w:p w14:paraId="562DEEEA">
      <w:pPr>
        <w:pStyle w:val="4"/>
        <w:keepNext/>
        <w:widowControl/>
        <w:spacing w:before="140" w:after="80"/>
      </w:pPr>
      <w:r>
        <w:t>7 Experiments and Downstream Validation</w:t>
      </w:r>
    </w:p>
    <w:p w14:paraId="4AE14BDA">
      <w:pPr>
        <w:pStyle w:val="5"/>
        <w:keepNext/>
        <w:widowControl/>
        <w:spacing w:before="140" w:after="80"/>
      </w:pPr>
      <w:r>
        <w:t>7.1 Experimental Protocol</w:t>
      </w:r>
    </w:p>
    <w:p w14:paraId="344319F7">
      <w:pPr>
        <w:widowControl/>
        <w:spacing w:after="80" w:line="324" w:lineRule="auto"/>
        <w:ind w:firstLine="420"/>
      </w:pPr>
      <w:r>
        <w:t>除面级识别精度实验外，设置几何简化的下游验证：对确认可删除的小特征执行几何内核处理，并在统一网格参数、材料、边界条件和载荷设置下比较处理前后的结果。</w:t>
      </w:r>
    </w:p>
    <w:p w14:paraId="424722DC">
      <w:pPr>
        <w:pStyle w:val="5"/>
        <w:keepNext/>
        <w:widowControl/>
        <w:spacing w:before="140" w:after="80"/>
      </w:pPr>
      <w:r>
        <w:t>7.2 Metrics</w:t>
      </w:r>
    </w:p>
    <w:p w14:paraId="2CF4B723">
      <w:pPr>
        <w:pStyle w:val="16"/>
        <w:widowControl/>
        <w:spacing w:after="40" w:line="300" w:lineRule="auto"/>
        <w:ind w:left="425" w:hanging="198"/>
      </w:pPr>
      <w:r>
        <w:t>总体指标：accuracy、macro-F1 和 mIoU。</w:t>
      </w:r>
    </w:p>
    <w:p w14:paraId="5BC74F97">
      <w:pPr>
        <w:pStyle w:val="16"/>
        <w:widowControl/>
        <w:spacing w:after="40" w:line="300" w:lineRule="auto"/>
        <w:ind w:left="425" w:hanging="198"/>
      </w:pPr>
      <w:r>
        <w:t>类别指标：每类 precision、recall、F1、TP、FP、FN 和 support。</w:t>
      </w:r>
    </w:p>
    <w:p w14:paraId="5DF5F608">
      <w:pPr>
        <w:pStyle w:val="16"/>
        <w:widowControl/>
        <w:spacing w:after="40" w:line="300" w:lineRule="auto"/>
        <w:ind w:left="425" w:hanging="198"/>
      </w:pPr>
      <w:r>
        <w:t>逐飞机指标：背景到铆钉误报、背景到 surface 误报以及目标漏检。</w:t>
      </w:r>
    </w:p>
    <w:p w14:paraId="36099F75">
      <w:pPr>
        <w:pStyle w:val="16"/>
        <w:widowControl/>
        <w:spacing w:after="40" w:line="300" w:lineRule="auto"/>
        <w:ind w:left="425" w:hanging="198"/>
      </w:pPr>
      <w:r>
        <w:t>结构风险指标：最大误报面归一化面积、误报所在组件规模以及校核前后的变化。</w:t>
      </w:r>
    </w:p>
    <w:p w14:paraId="16D20910">
      <w:pPr>
        <w:pStyle w:val="16"/>
        <w:widowControl/>
        <w:spacing w:after="40" w:line="300" w:lineRule="auto"/>
        <w:ind w:left="425" w:hanging="198"/>
      </w:pPr>
      <w:r>
        <w:t>除 Accuracy、Macro-F1、Balanced Accuracy 和各类别真实目标的识别完整性（分组召回率）外，报告背景误报面数、最大误报面积及跨飞机泛化结果；下游验证报告网格面数/节点/单元数变化、网格生成时间、几何偏差和仿真响应差异。</w:t>
      </w:r>
    </w:p>
    <w:p w14:paraId="2EB18812">
      <w:pPr>
        <w:pStyle w:val="5"/>
        <w:keepNext/>
        <w:widowControl/>
        <w:spacing w:before="140" w:after="80"/>
      </w:pPr>
      <w:r>
        <w:t>7.3 主结果：先报告面级识别结果，再单独报告几何与仿真下游验证结果，避免将识别指标与简化收益混为一谈。</w:t>
      </w:r>
    </w:p>
    <w:p w14:paraId="31F5376D">
      <w:pPr>
        <w:widowControl/>
        <w:spacing w:after="80" w:line="324" w:lineRule="auto"/>
        <w:ind w:firstLine="420"/>
      </w:pPr>
      <w:r>
        <w:t>当前正式记录可作为初始结果：测试集共 3631 个面，总准确率约 96.09%；铆钉召回率为 100%，铆钉误报 10 个；surface_feature 为 360 个 TP、119 个 FP 和 17 个 FN，对应召回率约 95.49%。投稿前应直接从最终 eval.csv 重新生成所有表格，并核对 accuracy、背景误报数和类别间混淆是否一致。</w:t>
      </w:r>
    </w:p>
    <w:tbl>
      <w:tblPr>
        <w:tblStyle w:val="33"/>
        <w:tblW w:w="0" w:type="auto"/>
        <w:jc w:val="center"/>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Layout w:type="fixed"/>
        <w:tblCellMar>
          <w:top w:w="0" w:type="dxa"/>
          <w:left w:w="108" w:type="dxa"/>
          <w:bottom w:w="0" w:type="dxa"/>
          <w:right w:w="108" w:type="dxa"/>
        </w:tblCellMar>
      </w:tblPr>
      <w:tblGrid>
        <w:gridCol w:w="1881"/>
        <w:gridCol w:w="1881"/>
        <w:gridCol w:w="1881"/>
        <w:gridCol w:w="1881"/>
        <w:gridCol w:w="1881"/>
      </w:tblGrid>
      <w:tr w14:paraId="00770172">
        <w:trPr>
          <w:tblHeader/>
          <w:jc w:val="center"/>
        </w:trPr>
        <w:tc>
          <w:tcPr>
            <w:tcW w:w="1701" w:type="dxa"/>
            <w:shd w:val="clear" w:color="auto" w:fill="1F4E78"/>
            <w:tcMar>
              <w:top w:w="100" w:type="dxa"/>
              <w:left w:w="120" w:type="dxa"/>
              <w:bottom w:w="100" w:type="dxa"/>
              <w:right w:w="120" w:type="dxa"/>
            </w:tcMar>
            <w:vAlign w:val="center"/>
          </w:tcPr>
          <w:p w14:paraId="15644A66">
            <w:pPr>
              <w:jc w:val="center"/>
            </w:pPr>
            <w:r>
              <w:rPr>
                <w:rFonts w:ascii="Times New Roman" w:hAnsi="Times New Roman" w:eastAsia="微软雅黑"/>
                <w:b/>
                <w:color w:val="FFFFFF"/>
                <w:sz w:val="17"/>
              </w:rPr>
              <w:t>测试飞机</w:t>
            </w:r>
          </w:p>
        </w:tc>
        <w:tc>
          <w:tcPr>
            <w:tcW w:w="963" w:type="dxa"/>
            <w:shd w:val="clear" w:color="auto" w:fill="1F4E78"/>
            <w:tcMar>
              <w:top w:w="100" w:type="dxa"/>
              <w:left w:w="120" w:type="dxa"/>
              <w:bottom w:w="100" w:type="dxa"/>
              <w:right w:w="120" w:type="dxa"/>
            </w:tcMar>
            <w:vAlign w:val="center"/>
          </w:tcPr>
          <w:p w14:paraId="5EA8EAD6">
            <w:pPr>
              <w:jc w:val="center"/>
            </w:pPr>
            <w:r>
              <w:rPr>
                <w:rFonts w:ascii="Times New Roman" w:hAnsi="Times New Roman" w:eastAsia="微软雅黑"/>
                <w:b/>
                <w:color w:val="FFFFFF"/>
                <w:sz w:val="17"/>
              </w:rPr>
              <w:t>面数</w:t>
            </w:r>
          </w:p>
        </w:tc>
        <w:tc>
          <w:tcPr>
            <w:tcW w:w="1134" w:type="dxa"/>
            <w:shd w:val="clear" w:color="auto" w:fill="1F4E78"/>
            <w:tcMar>
              <w:top w:w="100" w:type="dxa"/>
              <w:left w:w="120" w:type="dxa"/>
              <w:bottom w:w="100" w:type="dxa"/>
              <w:right w:w="120" w:type="dxa"/>
            </w:tcMar>
            <w:vAlign w:val="center"/>
          </w:tcPr>
          <w:p w14:paraId="61843651">
            <w:pPr>
              <w:jc w:val="center"/>
            </w:pPr>
            <w:r>
              <w:rPr>
                <w:rFonts w:ascii="Times New Roman" w:hAnsi="Times New Roman" w:eastAsia="微软雅黑"/>
                <w:b/>
                <w:color w:val="FFFFFF"/>
                <w:sz w:val="17"/>
              </w:rPr>
              <w:t>Accuracy</w:t>
            </w:r>
          </w:p>
        </w:tc>
        <w:tc>
          <w:tcPr>
            <w:tcW w:w="1814" w:type="dxa"/>
            <w:shd w:val="clear" w:color="auto" w:fill="1F4E78"/>
            <w:tcMar>
              <w:top w:w="100" w:type="dxa"/>
              <w:left w:w="120" w:type="dxa"/>
              <w:bottom w:w="100" w:type="dxa"/>
              <w:right w:w="120" w:type="dxa"/>
            </w:tcMar>
            <w:vAlign w:val="center"/>
          </w:tcPr>
          <w:p w14:paraId="5F306BEA">
            <w:pPr>
              <w:jc w:val="center"/>
            </w:pPr>
            <w:r>
              <w:rPr>
                <w:rFonts w:ascii="Times New Roman" w:hAnsi="Times New Roman" w:eastAsia="微软雅黑"/>
                <w:b/>
                <w:color w:val="FFFFFF"/>
                <w:sz w:val="17"/>
              </w:rPr>
              <w:t>Rivet TP FP FN</w:t>
            </w:r>
          </w:p>
        </w:tc>
        <w:tc>
          <w:tcPr>
            <w:tcW w:w="2381" w:type="dxa"/>
            <w:shd w:val="clear" w:color="auto" w:fill="1F4E78"/>
            <w:tcMar>
              <w:top w:w="100" w:type="dxa"/>
              <w:left w:w="120" w:type="dxa"/>
              <w:bottom w:w="100" w:type="dxa"/>
              <w:right w:w="120" w:type="dxa"/>
            </w:tcMar>
            <w:vAlign w:val="center"/>
          </w:tcPr>
          <w:p w14:paraId="0C7C4E76">
            <w:pPr>
              <w:jc w:val="center"/>
            </w:pPr>
            <w:r>
              <w:rPr>
                <w:rFonts w:ascii="Times New Roman" w:hAnsi="Times New Roman" w:eastAsia="微软雅黑"/>
                <w:b/>
                <w:color w:val="FFFFFF"/>
                <w:sz w:val="17"/>
              </w:rPr>
              <w:t>Surface TP FP FN</w:t>
            </w:r>
          </w:p>
        </w:tc>
      </w:tr>
      <w:tr w14:paraId="07264C4C">
        <w:trPr>
          <w:jc w:val="center"/>
        </w:trPr>
        <w:tc>
          <w:tcPr>
            <w:tcW w:w="1701" w:type="dxa"/>
            <w:tcMar>
              <w:top w:w="100" w:type="dxa"/>
              <w:left w:w="120" w:type="dxa"/>
              <w:bottom w:w="100" w:type="dxa"/>
              <w:right w:w="120" w:type="dxa"/>
            </w:tcMar>
            <w:vAlign w:val="center"/>
          </w:tcPr>
          <w:p w14:paraId="41F98376">
            <w:pPr>
              <w:spacing w:after="0" w:line="264" w:lineRule="auto"/>
              <w:jc w:val="center"/>
            </w:pPr>
            <w:r>
              <w:rPr>
                <w:rFonts w:ascii="Times New Roman" w:hAnsi="Times New Roman" w:eastAsia="宋体"/>
                <w:color w:val="000000"/>
                <w:sz w:val="17"/>
              </w:rPr>
              <w:t>109</w:t>
            </w:r>
          </w:p>
        </w:tc>
        <w:tc>
          <w:tcPr>
            <w:tcW w:w="963" w:type="dxa"/>
            <w:tcMar>
              <w:top w:w="100" w:type="dxa"/>
              <w:left w:w="120" w:type="dxa"/>
              <w:bottom w:w="100" w:type="dxa"/>
              <w:right w:w="120" w:type="dxa"/>
            </w:tcMar>
            <w:vAlign w:val="center"/>
          </w:tcPr>
          <w:p w14:paraId="55A8EA0D">
            <w:pPr>
              <w:spacing w:after="0" w:line="264" w:lineRule="auto"/>
              <w:jc w:val="left"/>
            </w:pPr>
            <w:r>
              <w:rPr>
                <w:rFonts w:ascii="Times New Roman" w:hAnsi="Times New Roman" w:eastAsia="宋体"/>
                <w:color w:val="000000"/>
                <w:sz w:val="17"/>
              </w:rPr>
              <w:t>1244</w:t>
            </w:r>
          </w:p>
        </w:tc>
        <w:tc>
          <w:tcPr>
            <w:tcW w:w="1134" w:type="dxa"/>
            <w:tcMar>
              <w:top w:w="100" w:type="dxa"/>
              <w:left w:w="120" w:type="dxa"/>
              <w:bottom w:w="100" w:type="dxa"/>
              <w:right w:w="120" w:type="dxa"/>
            </w:tcMar>
            <w:vAlign w:val="center"/>
          </w:tcPr>
          <w:p w14:paraId="652E1900">
            <w:pPr>
              <w:spacing w:after="0" w:line="264" w:lineRule="auto"/>
              <w:jc w:val="left"/>
            </w:pPr>
            <w:r>
              <w:rPr>
                <w:rFonts w:ascii="Times New Roman" w:hAnsi="Times New Roman" w:eastAsia="宋体"/>
                <w:color w:val="000000"/>
                <w:sz w:val="17"/>
              </w:rPr>
              <w:t>96.30%</w:t>
            </w:r>
          </w:p>
        </w:tc>
        <w:tc>
          <w:tcPr>
            <w:tcW w:w="1814" w:type="dxa"/>
            <w:tcMar>
              <w:top w:w="100" w:type="dxa"/>
              <w:left w:w="120" w:type="dxa"/>
              <w:bottom w:w="100" w:type="dxa"/>
              <w:right w:w="120" w:type="dxa"/>
            </w:tcMar>
            <w:vAlign w:val="center"/>
          </w:tcPr>
          <w:p w14:paraId="13F77ED9">
            <w:pPr>
              <w:spacing w:after="0" w:line="264" w:lineRule="auto"/>
              <w:jc w:val="left"/>
            </w:pPr>
            <w:r>
              <w:rPr>
                <w:rFonts w:ascii="Times New Roman" w:hAnsi="Times New Roman" w:eastAsia="宋体"/>
                <w:color w:val="000000"/>
                <w:sz w:val="17"/>
              </w:rPr>
              <w:t>26  0  0</w:t>
            </w:r>
          </w:p>
        </w:tc>
        <w:tc>
          <w:tcPr>
            <w:tcW w:w="2381" w:type="dxa"/>
            <w:tcMar>
              <w:top w:w="100" w:type="dxa"/>
              <w:left w:w="120" w:type="dxa"/>
              <w:bottom w:w="100" w:type="dxa"/>
              <w:right w:w="120" w:type="dxa"/>
            </w:tcMar>
            <w:vAlign w:val="center"/>
          </w:tcPr>
          <w:p w14:paraId="590D1516">
            <w:pPr>
              <w:spacing w:after="0" w:line="264" w:lineRule="auto"/>
              <w:jc w:val="left"/>
            </w:pPr>
            <w:r>
              <w:rPr>
                <w:rFonts w:ascii="Times New Roman" w:hAnsi="Times New Roman" w:eastAsia="宋体"/>
                <w:color w:val="000000"/>
                <w:sz w:val="17"/>
              </w:rPr>
              <w:t>1  46  0</w:t>
            </w:r>
          </w:p>
        </w:tc>
      </w:tr>
      <w:tr w14:paraId="7C1A3F1F">
        <w:trPr>
          <w:jc w:val="center"/>
        </w:trPr>
        <w:tc>
          <w:tcPr>
            <w:tcW w:w="1701" w:type="dxa"/>
            <w:shd w:val="clear" w:color="auto" w:fill="F3F7FA"/>
            <w:tcMar>
              <w:top w:w="100" w:type="dxa"/>
              <w:left w:w="120" w:type="dxa"/>
              <w:bottom w:w="100" w:type="dxa"/>
              <w:right w:w="120" w:type="dxa"/>
            </w:tcMar>
            <w:vAlign w:val="center"/>
          </w:tcPr>
          <w:p w14:paraId="62FB5BA3">
            <w:pPr>
              <w:spacing w:after="0" w:line="264" w:lineRule="auto"/>
              <w:jc w:val="center"/>
            </w:pPr>
            <w:r>
              <w:rPr>
                <w:rFonts w:ascii="Times New Roman" w:hAnsi="Times New Roman" w:eastAsia="宋体"/>
                <w:color w:val="000000"/>
                <w:sz w:val="17"/>
              </w:rPr>
              <w:t>DC-10</w:t>
            </w:r>
          </w:p>
        </w:tc>
        <w:tc>
          <w:tcPr>
            <w:tcW w:w="963" w:type="dxa"/>
            <w:shd w:val="clear" w:color="auto" w:fill="F3F7FA"/>
            <w:tcMar>
              <w:top w:w="100" w:type="dxa"/>
              <w:left w:w="120" w:type="dxa"/>
              <w:bottom w:w="100" w:type="dxa"/>
              <w:right w:w="120" w:type="dxa"/>
            </w:tcMar>
            <w:vAlign w:val="center"/>
          </w:tcPr>
          <w:p w14:paraId="7DDE0923">
            <w:pPr>
              <w:spacing w:after="0" w:line="264" w:lineRule="auto"/>
              <w:jc w:val="left"/>
            </w:pPr>
            <w:r>
              <w:rPr>
                <w:rFonts w:ascii="Times New Roman" w:hAnsi="Times New Roman" w:eastAsia="宋体"/>
                <w:color w:val="000000"/>
                <w:sz w:val="17"/>
              </w:rPr>
              <w:t>287</w:t>
            </w:r>
          </w:p>
        </w:tc>
        <w:tc>
          <w:tcPr>
            <w:tcW w:w="1134" w:type="dxa"/>
            <w:shd w:val="clear" w:color="auto" w:fill="F3F7FA"/>
            <w:tcMar>
              <w:top w:w="100" w:type="dxa"/>
              <w:left w:w="120" w:type="dxa"/>
              <w:bottom w:w="100" w:type="dxa"/>
              <w:right w:w="120" w:type="dxa"/>
            </w:tcMar>
            <w:vAlign w:val="center"/>
          </w:tcPr>
          <w:p w14:paraId="69CC4A39">
            <w:pPr>
              <w:spacing w:after="0" w:line="264" w:lineRule="auto"/>
              <w:jc w:val="left"/>
            </w:pPr>
            <w:r>
              <w:rPr>
                <w:rFonts w:ascii="Times New Roman" w:hAnsi="Times New Roman" w:eastAsia="宋体"/>
                <w:color w:val="000000"/>
                <w:sz w:val="17"/>
              </w:rPr>
              <w:t>89.55%</w:t>
            </w:r>
          </w:p>
        </w:tc>
        <w:tc>
          <w:tcPr>
            <w:tcW w:w="1814" w:type="dxa"/>
            <w:shd w:val="clear" w:color="auto" w:fill="F3F7FA"/>
            <w:tcMar>
              <w:top w:w="100" w:type="dxa"/>
              <w:left w:w="120" w:type="dxa"/>
              <w:bottom w:w="100" w:type="dxa"/>
              <w:right w:w="120" w:type="dxa"/>
            </w:tcMar>
            <w:vAlign w:val="center"/>
          </w:tcPr>
          <w:p w14:paraId="6D2A2B30">
            <w:pPr>
              <w:spacing w:after="0" w:line="264" w:lineRule="auto"/>
              <w:jc w:val="left"/>
            </w:pPr>
            <w:r>
              <w:rPr>
                <w:rFonts w:ascii="Times New Roman" w:hAnsi="Times New Roman" w:eastAsia="宋体"/>
                <w:color w:val="000000"/>
                <w:sz w:val="17"/>
              </w:rPr>
              <w:t>26  0  0</w:t>
            </w:r>
          </w:p>
        </w:tc>
        <w:tc>
          <w:tcPr>
            <w:tcW w:w="2381" w:type="dxa"/>
            <w:shd w:val="clear" w:color="auto" w:fill="F3F7FA"/>
            <w:tcMar>
              <w:top w:w="100" w:type="dxa"/>
              <w:left w:w="120" w:type="dxa"/>
              <w:bottom w:w="100" w:type="dxa"/>
              <w:right w:w="120" w:type="dxa"/>
            </w:tcMar>
            <w:vAlign w:val="center"/>
          </w:tcPr>
          <w:p w14:paraId="3A9230B2">
            <w:pPr>
              <w:spacing w:after="0" w:line="264" w:lineRule="auto"/>
              <w:jc w:val="left"/>
            </w:pPr>
            <w:r>
              <w:rPr>
                <w:rFonts w:ascii="Times New Roman" w:hAnsi="Times New Roman" w:eastAsia="宋体"/>
                <w:color w:val="000000"/>
                <w:sz w:val="17"/>
              </w:rPr>
              <w:t>91  19  11</w:t>
            </w:r>
          </w:p>
        </w:tc>
      </w:tr>
      <w:tr w14:paraId="24E945C3">
        <w:trPr>
          <w:jc w:val="center"/>
        </w:trPr>
        <w:tc>
          <w:tcPr>
            <w:tcW w:w="1701" w:type="dxa"/>
            <w:tcMar>
              <w:top w:w="100" w:type="dxa"/>
              <w:left w:w="120" w:type="dxa"/>
              <w:bottom w:w="100" w:type="dxa"/>
              <w:right w:w="120" w:type="dxa"/>
            </w:tcMar>
            <w:vAlign w:val="center"/>
          </w:tcPr>
          <w:p w14:paraId="47EACCFD">
            <w:pPr>
              <w:spacing w:after="0" w:line="264" w:lineRule="auto"/>
              <w:jc w:val="center"/>
            </w:pPr>
            <w:r>
              <w:rPr>
                <w:rFonts w:ascii="Times New Roman" w:hAnsi="Times New Roman" w:eastAsia="宋体"/>
                <w:color w:val="000000"/>
                <w:sz w:val="17"/>
              </w:rPr>
              <w:t>747-400</w:t>
            </w:r>
          </w:p>
        </w:tc>
        <w:tc>
          <w:tcPr>
            <w:tcW w:w="963" w:type="dxa"/>
            <w:tcMar>
              <w:top w:w="100" w:type="dxa"/>
              <w:left w:w="120" w:type="dxa"/>
              <w:bottom w:w="100" w:type="dxa"/>
              <w:right w:w="120" w:type="dxa"/>
            </w:tcMar>
            <w:vAlign w:val="center"/>
          </w:tcPr>
          <w:p w14:paraId="214E0142">
            <w:pPr>
              <w:spacing w:after="0" w:line="264" w:lineRule="auto"/>
              <w:jc w:val="left"/>
            </w:pPr>
            <w:r>
              <w:rPr>
                <w:rFonts w:ascii="Times New Roman" w:hAnsi="Times New Roman" w:eastAsia="宋体"/>
                <w:color w:val="000000"/>
                <w:sz w:val="17"/>
              </w:rPr>
              <w:t>1432</w:t>
            </w:r>
          </w:p>
        </w:tc>
        <w:tc>
          <w:tcPr>
            <w:tcW w:w="1134" w:type="dxa"/>
            <w:tcMar>
              <w:top w:w="100" w:type="dxa"/>
              <w:left w:w="120" w:type="dxa"/>
              <w:bottom w:w="100" w:type="dxa"/>
              <w:right w:w="120" w:type="dxa"/>
            </w:tcMar>
            <w:vAlign w:val="center"/>
          </w:tcPr>
          <w:p w14:paraId="05ED900C">
            <w:pPr>
              <w:spacing w:after="0" w:line="264" w:lineRule="auto"/>
              <w:jc w:val="left"/>
            </w:pPr>
            <w:r>
              <w:rPr>
                <w:rFonts w:ascii="Times New Roman" w:hAnsi="Times New Roman" w:eastAsia="宋体"/>
                <w:color w:val="000000"/>
                <w:sz w:val="17"/>
              </w:rPr>
              <w:t>96.79%</w:t>
            </w:r>
          </w:p>
        </w:tc>
        <w:tc>
          <w:tcPr>
            <w:tcW w:w="1814" w:type="dxa"/>
            <w:tcMar>
              <w:top w:w="100" w:type="dxa"/>
              <w:left w:w="120" w:type="dxa"/>
              <w:bottom w:w="100" w:type="dxa"/>
              <w:right w:w="120" w:type="dxa"/>
            </w:tcMar>
            <w:vAlign w:val="center"/>
          </w:tcPr>
          <w:p w14:paraId="6E6656AC">
            <w:pPr>
              <w:spacing w:after="0" w:line="264" w:lineRule="auto"/>
              <w:jc w:val="left"/>
            </w:pPr>
            <w:r>
              <w:rPr>
                <w:rFonts w:ascii="Times New Roman" w:hAnsi="Times New Roman" w:eastAsia="宋体"/>
                <w:color w:val="000000"/>
                <w:sz w:val="17"/>
              </w:rPr>
              <w:t>20  10  0</w:t>
            </w:r>
          </w:p>
        </w:tc>
        <w:tc>
          <w:tcPr>
            <w:tcW w:w="2381" w:type="dxa"/>
            <w:tcMar>
              <w:top w:w="100" w:type="dxa"/>
              <w:left w:w="120" w:type="dxa"/>
              <w:bottom w:w="100" w:type="dxa"/>
              <w:right w:w="120" w:type="dxa"/>
            </w:tcMar>
            <w:vAlign w:val="center"/>
          </w:tcPr>
          <w:p w14:paraId="6D41967B">
            <w:pPr>
              <w:spacing w:after="0" w:line="264" w:lineRule="auto"/>
              <w:jc w:val="left"/>
            </w:pPr>
            <w:r>
              <w:rPr>
                <w:rFonts w:ascii="Times New Roman" w:hAnsi="Times New Roman" w:eastAsia="宋体"/>
                <w:color w:val="000000"/>
                <w:sz w:val="17"/>
              </w:rPr>
              <w:t>238  30  6</w:t>
            </w:r>
          </w:p>
        </w:tc>
      </w:tr>
      <w:tr w14:paraId="118BBC28">
        <w:trPr>
          <w:jc w:val="center"/>
        </w:trPr>
        <w:tc>
          <w:tcPr>
            <w:tcW w:w="1701" w:type="dxa"/>
            <w:shd w:val="clear" w:color="auto" w:fill="F3F7FA"/>
            <w:tcMar>
              <w:top w:w="100" w:type="dxa"/>
              <w:left w:w="120" w:type="dxa"/>
              <w:bottom w:w="100" w:type="dxa"/>
              <w:right w:w="120" w:type="dxa"/>
            </w:tcMar>
            <w:vAlign w:val="center"/>
          </w:tcPr>
          <w:p w14:paraId="33B45EA2">
            <w:pPr>
              <w:spacing w:after="0" w:line="264" w:lineRule="auto"/>
              <w:jc w:val="center"/>
            </w:pPr>
            <w:r>
              <w:rPr>
                <w:rFonts w:ascii="Times New Roman" w:hAnsi="Times New Roman" w:eastAsia="宋体"/>
                <w:color w:val="000000"/>
                <w:sz w:val="17"/>
              </w:rPr>
              <w:t>Gulfstream G280</w:t>
            </w:r>
          </w:p>
        </w:tc>
        <w:tc>
          <w:tcPr>
            <w:tcW w:w="963" w:type="dxa"/>
            <w:shd w:val="clear" w:color="auto" w:fill="F3F7FA"/>
            <w:tcMar>
              <w:top w:w="100" w:type="dxa"/>
              <w:left w:w="120" w:type="dxa"/>
              <w:bottom w:w="100" w:type="dxa"/>
              <w:right w:w="120" w:type="dxa"/>
            </w:tcMar>
            <w:vAlign w:val="center"/>
          </w:tcPr>
          <w:p w14:paraId="67F06459">
            <w:pPr>
              <w:spacing w:after="0" w:line="264" w:lineRule="auto"/>
              <w:jc w:val="left"/>
            </w:pPr>
            <w:r>
              <w:rPr>
                <w:rFonts w:ascii="Times New Roman" w:hAnsi="Times New Roman" w:eastAsia="宋体"/>
                <w:color w:val="000000"/>
                <w:sz w:val="17"/>
              </w:rPr>
              <w:t>668</w:t>
            </w:r>
          </w:p>
        </w:tc>
        <w:tc>
          <w:tcPr>
            <w:tcW w:w="1134" w:type="dxa"/>
            <w:shd w:val="clear" w:color="auto" w:fill="F3F7FA"/>
            <w:tcMar>
              <w:top w:w="100" w:type="dxa"/>
              <w:left w:w="120" w:type="dxa"/>
              <w:bottom w:w="100" w:type="dxa"/>
              <w:right w:w="120" w:type="dxa"/>
            </w:tcMar>
            <w:vAlign w:val="center"/>
          </w:tcPr>
          <w:p w14:paraId="1F719F2F">
            <w:pPr>
              <w:spacing w:after="0" w:line="264" w:lineRule="auto"/>
              <w:jc w:val="left"/>
            </w:pPr>
            <w:r>
              <w:rPr>
                <w:rFonts w:ascii="Times New Roman" w:hAnsi="Times New Roman" w:eastAsia="宋体"/>
                <w:color w:val="000000"/>
                <w:sz w:val="17"/>
              </w:rPr>
              <w:t>97.01%</w:t>
            </w:r>
          </w:p>
        </w:tc>
        <w:tc>
          <w:tcPr>
            <w:tcW w:w="1814" w:type="dxa"/>
            <w:shd w:val="clear" w:color="auto" w:fill="F3F7FA"/>
            <w:tcMar>
              <w:top w:w="100" w:type="dxa"/>
              <w:left w:w="120" w:type="dxa"/>
              <w:bottom w:w="100" w:type="dxa"/>
              <w:right w:w="120" w:type="dxa"/>
            </w:tcMar>
            <w:vAlign w:val="center"/>
          </w:tcPr>
          <w:p w14:paraId="20556FF1">
            <w:pPr>
              <w:spacing w:after="0" w:line="264" w:lineRule="auto"/>
              <w:jc w:val="left"/>
            </w:pPr>
            <w:r>
              <w:rPr>
                <w:rFonts w:ascii="Times New Roman" w:hAnsi="Times New Roman" w:eastAsia="宋体"/>
                <w:color w:val="000000"/>
                <w:sz w:val="17"/>
              </w:rPr>
              <w:t>60  0  0</w:t>
            </w:r>
          </w:p>
        </w:tc>
        <w:tc>
          <w:tcPr>
            <w:tcW w:w="2381" w:type="dxa"/>
            <w:shd w:val="clear" w:color="auto" w:fill="F3F7FA"/>
            <w:tcMar>
              <w:top w:w="100" w:type="dxa"/>
              <w:left w:w="120" w:type="dxa"/>
              <w:bottom w:w="100" w:type="dxa"/>
              <w:right w:w="120" w:type="dxa"/>
            </w:tcMar>
            <w:vAlign w:val="center"/>
          </w:tcPr>
          <w:p w14:paraId="1DBA90CF">
            <w:pPr>
              <w:spacing w:after="0" w:line="264" w:lineRule="auto"/>
              <w:jc w:val="left"/>
            </w:pPr>
            <w:r>
              <w:rPr>
                <w:rFonts w:ascii="Times New Roman" w:hAnsi="Times New Roman" w:eastAsia="宋体"/>
                <w:color w:val="000000"/>
                <w:sz w:val="17"/>
              </w:rPr>
              <w:t>30  20  0</w:t>
            </w:r>
          </w:p>
        </w:tc>
      </w:tr>
    </w:tbl>
    <w:p w14:paraId="599208CF">
      <w:pPr>
        <w:widowControl/>
        <w:spacing w:after="0"/>
      </w:pPr>
      <w:r/>
    </w:p>
    <w:p w14:paraId="432325B3">
      <w:pPr>
        <w:pStyle w:val="5"/>
        <w:keepNext/>
        <w:widowControl/>
        <w:spacing w:before="140" w:after="80"/>
      </w:pPr>
      <w:r>
        <w:t>7.4 误差分析：重点分析大面积光滑面误报、铆钉与其他表面特征混淆、拓扑断裂和跨飞机分布偏移。</w:t>
      </w:r>
    </w:p>
    <w:p w14:paraId="57EA7B8D">
      <w:pPr>
        <w:widowControl/>
        <w:spacing w:after="80" w:line="324" w:lineRule="auto"/>
        <w:ind w:firstLine="420"/>
      </w:pPr>
      <w:r>
        <w:t>重点分析 109 的 surface 低精度、DC-10 的表面特征漏检、747-400 的铆钉误报以及 Gulfstream G280 的 surface 背景误报。误差分析必须结合实际 STEP 面可视化、面积、曲面类型和邻接组件，不仅依据 CSV 数字推测。</w:t>
      </w:r>
    </w:p>
    <w:p>
      <w:pPr>
        <w:pStyle w:val="4"/>
      </w:pPr>
      <w:r>
        <w:t>7.5 几何、网格与仿真下游验证</w:t>
      </w:r>
    </w:p>
    <w:p>
      <w:pPr/>
      <w:r>
        <w:t>对确认可删除的小特征执行几何内核模型简化，并使用相同网格尺寸、曲率控制和质量准则生成处理前后的网格；比较面数、节点数、单元数、网格生成时间和内存占用。</w:t>
      </w:r>
    </w:p>
    <w:p>
      <w:pPr/>
      <w:r>
        <w:t>采用 Hausdorff 距离、最大几何偏差、平均偏差以及体积和表面积相对误差评价几何保真度，明确简化操作不会超出预设容差。</w:t>
      </w:r>
    </w:p>
    <w:p>
      <w:pPr/>
      <w:r>
        <w:t>在相同材料、边界条件、载荷和求解器设置下，对比简化前后的关键仿真响应（如位移、应力、固有频率或温度场），并报告绝对差值和相对差值。若删除闭环尚未完成，本节作为待补实验，不能提前宣称简化收益。</w:t>
      </w:r>
    </w:p>
    <w:p w14:paraId="184A8921">
      <w:pPr>
        <w:pStyle w:val="4"/>
        <w:keepNext/>
        <w:widowControl/>
        <w:spacing w:before="140" w:after="80"/>
      </w:pPr>
      <w:r>
        <w:t>8 Ablation Studies</w:t>
      </w:r>
    </w:p>
    <w:tbl>
      <w:tblPr>
        <w:tblStyle w:val="33"/>
        <w:tblW w:w="0" w:type="auto"/>
        <w:jc w:val="center"/>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Layout w:type="fixed"/>
        <w:tblCellMar>
          <w:top w:w="0" w:type="dxa"/>
          <w:left w:w="108" w:type="dxa"/>
          <w:bottom w:w="0" w:type="dxa"/>
          <w:right w:w="108" w:type="dxa"/>
        </w:tblCellMar>
      </w:tblPr>
      <w:tblGrid>
        <w:gridCol w:w="2351"/>
        <w:gridCol w:w="2351"/>
        <w:gridCol w:w="2351"/>
        <w:gridCol w:w="2351"/>
      </w:tblGrid>
      <w:tr w14:paraId="475DBD98">
        <w:trPr>
          <w:tblHeader/>
          <w:jc w:val="center"/>
        </w:trPr>
        <w:tc>
          <w:tcPr>
            <w:tcW w:w="1417" w:type="dxa"/>
            <w:shd w:val="clear" w:color="auto" w:fill="1F4E78"/>
            <w:tcMar>
              <w:top w:w="100" w:type="dxa"/>
              <w:left w:w="120" w:type="dxa"/>
              <w:bottom w:w="100" w:type="dxa"/>
              <w:right w:w="120" w:type="dxa"/>
            </w:tcMar>
            <w:vAlign w:val="center"/>
          </w:tcPr>
          <w:p w14:paraId="758AFF6A">
            <w:pPr>
              <w:jc w:val="center"/>
            </w:pPr>
            <w:r>
              <w:rPr>
                <w:rFonts w:ascii="Times New Roman" w:hAnsi="Times New Roman" w:eastAsia="微软雅黑"/>
                <w:b/>
                <w:color w:val="FFFFFF"/>
                <w:sz w:val="16"/>
              </w:rPr>
              <w:t>消融问题</w:t>
            </w:r>
          </w:p>
        </w:tc>
        <w:tc>
          <w:tcPr>
            <w:tcW w:w="2268" w:type="dxa"/>
            <w:shd w:val="clear" w:color="auto" w:fill="1F4E78"/>
            <w:tcMar>
              <w:top w:w="100" w:type="dxa"/>
              <w:left w:w="120" w:type="dxa"/>
              <w:bottom w:w="100" w:type="dxa"/>
              <w:right w:w="120" w:type="dxa"/>
            </w:tcMar>
            <w:vAlign w:val="center"/>
          </w:tcPr>
          <w:p w14:paraId="2646F246">
            <w:pPr>
              <w:jc w:val="center"/>
            </w:pPr>
            <w:r>
              <w:rPr>
                <w:rFonts w:ascii="Times New Roman" w:hAnsi="Times New Roman" w:eastAsia="微软雅黑"/>
                <w:b/>
                <w:color w:val="FFFFFF"/>
                <w:sz w:val="16"/>
              </w:rPr>
              <w:t>对比设置</w:t>
            </w:r>
          </w:p>
        </w:tc>
        <w:tc>
          <w:tcPr>
            <w:tcW w:w="1984" w:type="dxa"/>
            <w:shd w:val="clear" w:color="auto" w:fill="1F4E78"/>
            <w:tcMar>
              <w:top w:w="100" w:type="dxa"/>
              <w:left w:w="120" w:type="dxa"/>
              <w:bottom w:w="100" w:type="dxa"/>
              <w:right w:w="120" w:type="dxa"/>
            </w:tcMar>
            <w:vAlign w:val="center"/>
          </w:tcPr>
          <w:p w14:paraId="737B1FD7">
            <w:pPr>
              <w:jc w:val="center"/>
            </w:pPr>
            <w:r>
              <w:rPr>
                <w:rFonts w:ascii="Times New Roman" w:hAnsi="Times New Roman" w:eastAsia="微软雅黑"/>
                <w:b/>
                <w:color w:val="FFFFFF"/>
                <w:sz w:val="16"/>
              </w:rPr>
              <w:t>主要观察指标</w:t>
            </w:r>
          </w:p>
        </w:tc>
        <w:tc>
          <w:tcPr>
            <w:tcW w:w="2551" w:type="dxa"/>
            <w:shd w:val="clear" w:color="auto" w:fill="1F4E78"/>
            <w:tcMar>
              <w:top w:w="100" w:type="dxa"/>
              <w:left w:w="120" w:type="dxa"/>
              <w:bottom w:w="100" w:type="dxa"/>
              <w:right w:w="120" w:type="dxa"/>
            </w:tcMar>
            <w:vAlign w:val="center"/>
          </w:tcPr>
          <w:p w14:paraId="5672E4BC">
            <w:pPr>
              <w:jc w:val="center"/>
            </w:pPr>
            <w:r>
              <w:rPr>
                <w:rFonts w:ascii="Times New Roman" w:hAnsi="Times New Roman" w:eastAsia="微软雅黑"/>
                <w:b/>
                <w:color w:val="FFFFFF"/>
                <w:sz w:val="16"/>
              </w:rPr>
              <w:t>预期回答</w:t>
            </w:r>
          </w:p>
        </w:tc>
      </w:tr>
      <w:tr w14:paraId="2B4465B8">
        <w:trPr>
          <w:jc w:val="center"/>
        </w:trPr>
        <w:tc>
          <w:tcPr>
            <w:tcW w:w="1417" w:type="dxa"/>
            <w:tcMar>
              <w:top w:w="100" w:type="dxa"/>
              <w:left w:w="120" w:type="dxa"/>
              <w:bottom w:w="100" w:type="dxa"/>
              <w:right w:w="120" w:type="dxa"/>
            </w:tcMar>
            <w:vAlign w:val="center"/>
          </w:tcPr>
          <w:p w14:paraId="2D78FFF0">
            <w:pPr>
              <w:spacing w:after="0" w:line="264" w:lineRule="auto"/>
              <w:jc w:val="center"/>
            </w:pPr>
            <w:r>
              <w:rPr>
                <w:rFonts w:ascii="Times New Roman" w:hAnsi="Times New Roman" w:eastAsia="宋体"/>
                <w:color w:val="000000"/>
                <w:sz w:val="16"/>
              </w:rPr>
              <w:t>双专家是否必要</w:t>
            </w:r>
          </w:p>
        </w:tc>
        <w:tc>
          <w:tcPr>
            <w:tcW w:w="2268" w:type="dxa"/>
            <w:tcMar>
              <w:top w:w="100" w:type="dxa"/>
              <w:left w:w="120" w:type="dxa"/>
              <w:bottom w:w="100" w:type="dxa"/>
              <w:right w:w="120" w:type="dxa"/>
            </w:tcMar>
            <w:vAlign w:val="center"/>
          </w:tcPr>
          <w:p w14:paraId="0F828F03">
            <w:pPr>
              <w:spacing w:after="0" w:line="264" w:lineRule="auto"/>
              <w:jc w:val="left"/>
            </w:pPr>
            <w:r>
              <w:rPr>
                <w:rFonts w:ascii="Times New Roman" w:hAnsi="Times New Roman" w:eastAsia="宋体"/>
                <w:color w:val="000000"/>
                <w:sz w:val="16"/>
              </w:rPr>
              <w:t>统一三分类模型 vs 双专家模型</w:t>
            </w:r>
          </w:p>
        </w:tc>
        <w:tc>
          <w:tcPr>
            <w:tcW w:w="1984" w:type="dxa"/>
            <w:tcMar>
              <w:top w:w="100" w:type="dxa"/>
              <w:left w:w="120" w:type="dxa"/>
              <w:bottom w:w="100" w:type="dxa"/>
              <w:right w:w="120" w:type="dxa"/>
            </w:tcMar>
            <w:vAlign w:val="center"/>
          </w:tcPr>
          <w:p w14:paraId="2EF7D07C">
            <w:pPr>
              <w:spacing w:after="0" w:line="264" w:lineRule="auto"/>
              <w:jc w:val="left"/>
            </w:pPr>
            <w:r>
              <w:rPr>
                <w:rFonts w:ascii="Times New Roman" w:hAnsi="Times New Roman" w:eastAsia="宋体"/>
                <w:color w:val="000000"/>
                <w:sz w:val="16"/>
              </w:rPr>
              <w:t>各类 F1、铆钉 FP、surface FP</w:t>
            </w:r>
          </w:p>
        </w:tc>
        <w:tc>
          <w:tcPr>
            <w:tcW w:w="2551" w:type="dxa"/>
            <w:tcMar>
              <w:top w:w="100" w:type="dxa"/>
              <w:left w:w="120" w:type="dxa"/>
              <w:bottom w:w="100" w:type="dxa"/>
              <w:right w:w="120" w:type="dxa"/>
            </w:tcMar>
            <w:vAlign w:val="center"/>
          </w:tcPr>
          <w:p w14:paraId="6CD4EB6C">
            <w:pPr>
              <w:spacing w:after="0" w:line="264" w:lineRule="auto"/>
              <w:jc w:val="left"/>
            </w:pPr>
            <w:r>
              <w:rPr>
                <w:rFonts w:ascii="Times New Roman" w:hAnsi="Times New Roman" w:eastAsia="宋体"/>
                <w:color w:val="000000"/>
                <w:sz w:val="16"/>
              </w:rPr>
              <w:t>独立学习是否减少类别间干扰</w:t>
            </w:r>
          </w:p>
        </w:tc>
      </w:tr>
      <w:tr w14:paraId="06341E28">
        <w:trPr>
          <w:jc w:val="center"/>
        </w:trPr>
        <w:tc>
          <w:tcPr>
            <w:tcW w:w="1417" w:type="dxa"/>
            <w:shd w:val="clear" w:color="auto" w:fill="F3F7FA"/>
            <w:tcMar>
              <w:top w:w="100" w:type="dxa"/>
              <w:left w:w="120" w:type="dxa"/>
              <w:bottom w:w="100" w:type="dxa"/>
              <w:right w:w="120" w:type="dxa"/>
            </w:tcMar>
            <w:vAlign w:val="center"/>
          </w:tcPr>
          <w:p w14:paraId="0AB6FDB5">
            <w:pPr>
              <w:spacing w:after="0" w:line="264" w:lineRule="auto"/>
              <w:jc w:val="center"/>
            </w:pPr>
            <w:r>
              <w:rPr>
                <w:rFonts w:ascii="Times New Roman" w:hAnsi="Times New Roman" w:eastAsia="宋体"/>
                <w:color w:val="000000"/>
                <w:sz w:val="16"/>
              </w:rPr>
              <w:t>边与拓扑是否有效</w:t>
            </w:r>
          </w:p>
        </w:tc>
        <w:tc>
          <w:tcPr>
            <w:tcW w:w="2268" w:type="dxa"/>
            <w:shd w:val="clear" w:color="auto" w:fill="F3F7FA"/>
            <w:tcMar>
              <w:top w:w="100" w:type="dxa"/>
              <w:left w:w="120" w:type="dxa"/>
              <w:bottom w:w="100" w:type="dxa"/>
              <w:right w:w="120" w:type="dxa"/>
            </w:tcMar>
            <w:vAlign w:val="center"/>
          </w:tcPr>
          <w:p w14:paraId="49F76BA1">
            <w:pPr>
              <w:spacing w:after="0" w:line="264" w:lineRule="auto"/>
              <w:jc w:val="left"/>
            </w:pPr>
            <w:r>
              <w:rPr>
                <w:rFonts w:ascii="Times New Roman" w:hAnsi="Times New Roman" w:eastAsia="宋体"/>
                <w:color w:val="000000"/>
                <w:sz w:val="16"/>
              </w:rPr>
              <w:t>移除边特征或局部拓扑特征</w:t>
            </w:r>
          </w:p>
        </w:tc>
        <w:tc>
          <w:tcPr>
            <w:tcW w:w="1984" w:type="dxa"/>
            <w:shd w:val="clear" w:color="auto" w:fill="F3F7FA"/>
            <w:tcMar>
              <w:top w:w="100" w:type="dxa"/>
              <w:left w:w="120" w:type="dxa"/>
              <w:bottom w:w="100" w:type="dxa"/>
              <w:right w:w="120" w:type="dxa"/>
            </w:tcMar>
            <w:vAlign w:val="center"/>
          </w:tcPr>
          <w:p w14:paraId="7F6F3B7D">
            <w:pPr>
              <w:spacing w:after="0" w:line="264" w:lineRule="auto"/>
              <w:jc w:val="left"/>
            </w:pPr>
            <w:r>
              <w:rPr>
                <w:rFonts w:ascii="Times New Roman" w:hAnsi="Times New Roman" w:eastAsia="宋体"/>
                <w:color w:val="000000"/>
                <w:sz w:val="16"/>
              </w:rPr>
              <w:t>macro-F1、逐飞机召回</w:t>
            </w:r>
          </w:p>
        </w:tc>
        <w:tc>
          <w:tcPr>
            <w:tcW w:w="2551" w:type="dxa"/>
            <w:shd w:val="clear" w:color="auto" w:fill="F3F7FA"/>
            <w:tcMar>
              <w:top w:w="100" w:type="dxa"/>
              <w:left w:w="120" w:type="dxa"/>
              <w:bottom w:w="100" w:type="dxa"/>
              <w:right w:w="120" w:type="dxa"/>
            </w:tcMar>
            <w:vAlign w:val="center"/>
          </w:tcPr>
          <w:p w14:paraId="78BF24D1">
            <w:pPr>
              <w:spacing w:after="0" w:line="264" w:lineRule="auto"/>
              <w:jc w:val="left"/>
            </w:pPr>
            <w:r>
              <w:rPr>
                <w:rFonts w:ascii="Times New Roman" w:hAnsi="Times New Roman" w:eastAsia="宋体"/>
                <w:color w:val="000000"/>
                <w:sz w:val="16"/>
              </w:rPr>
              <w:t>性能是否来自图关系而非单面属性</w:t>
            </w:r>
          </w:p>
        </w:tc>
      </w:tr>
      <w:tr w14:paraId="72DB4D32">
        <w:trPr>
          <w:jc w:val="center"/>
        </w:trPr>
        <w:tc>
          <w:tcPr>
            <w:tcW w:w="1417" w:type="dxa"/>
            <w:tcMar>
              <w:top w:w="100" w:type="dxa"/>
              <w:left w:w="120" w:type="dxa"/>
              <w:bottom w:w="100" w:type="dxa"/>
              <w:right w:w="120" w:type="dxa"/>
            </w:tcMar>
            <w:vAlign w:val="center"/>
          </w:tcPr>
          <w:p w14:paraId="699724D0">
            <w:pPr>
              <w:spacing w:after="0" w:line="264" w:lineRule="auto"/>
              <w:jc w:val="center"/>
            </w:pPr>
            <w:r>
              <w:rPr>
                <w:rFonts w:ascii="Times New Roman" w:hAnsi="Times New Roman" w:eastAsia="宋体"/>
                <w:color w:val="000000"/>
                <w:sz w:val="16"/>
              </w:rPr>
              <w:t>组件校核是否有效</w:t>
            </w:r>
          </w:p>
        </w:tc>
        <w:tc>
          <w:tcPr>
            <w:tcW w:w="2268" w:type="dxa"/>
            <w:tcMar>
              <w:top w:w="100" w:type="dxa"/>
              <w:left w:w="120" w:type="dxa"/>
              <w:bottom w:w="100" w:type="dxa"/>
              <w:right w:w="120" w:type="dxa"/>
            </w:tcMar>
            <w:vAlign w:val="center"/>
          </w:tcPr>
          <w:p w14:paraId="4A1677A2">
            <w:pPr>
              <w:spacing w:after="0" w:line="264" w:lineRule="auto"/>
              <w:jc w:val="left"/>
            </w:pPr>
            <w:r>
              <w:rPr>
                <w:rFonts w:ascii="Times New Roman" w:hAnsi="Times New Roman" w:eastAsia="宋体"/>
                <w:color w:val="000000"/>
                <w:sz w:val="16"/>
              </w:rPr>
              <w:t>原始 GNN vs GNN 加组件校核</w:t>
            </w:r>
          </w:p>
        </w:tc>
        <w:tc>
          <w:tcPr>
            <w:tcW w:w="1984" w:type="dxa"/>
            <w:tcMar>
              <w:top w:w="100" w:type="dxa"/>
              <w:left w:w="120" w:type="dxa"/>
              <w:bottom w:w="100" w:type="dxa"/>
              <w:right w:w="120" w:type="dxa"/>
            </w:tcMar>
            <w:vAlign w:val="center"/>
          </w:tcPr>
          <w:p w14:paraId="4ADEA372">
            <w:pPr>
              <w:spacing w:after="0" w:line="264" w:lineRule="auto"/>
              <w:jc w:val="left"/>
            </w:pPr>
            <w:r>
              <w:rPr>
                <w:rFonts w:ascii="Times New Roman" w:hAnsi="Times New Roman" w:eastAsia="宋体"/>
                <w:color w:val="000000"/>
                <w:sz w:val="16"/>
              </w:rPr>
              <w:t>高风险 FP、最大 FP 面积、TP 损失</w:t>
            </w:r>
          </w:p>
        </w:tc>
        <w:tc>
          <w:tcPr>
            <w:tcW w:w="2551" w:type="dxa"/>
            <w:tcMar>
              <w:top w:w="100" w:type="dxa"/>
              <w:left w:w="120" w:type="dxa"/>
              <w:bottom w:w="100" w:type="dxa"/>
              <w:right w:w="120" w:type="dxa"/>
            </w:tcMar>
            <w:vAlign w:val="center"/>
          </w:tcPr>
          <w:p w14:paraId="40264620">
            <w:pPr>
              <w:spacing w:after="0" w:line="264" w:lineRule="auto"/>
              <w:jc w:val="left"/>
            </w:pPr>
            <w:r>
              <w:rPr>
                <w:rFonts w:ascii="Times New Roman" w:hAnsi="Times New Roman" w:eastAsia="宋体"/>
                <w:color w:val="000000"/>
                <w:sz w:val="16"/>
              </w:rPr>
              <w:t>是否提高结构一致性且不明显损害召回</w:t>
            </w:r>
          </w:p>
        </w:tc>
      </w:tr>
      <w:tr w14:paraId="7316B966">
        <w:trPr>
          <w:jc w:val="center"/>
        </w:trPr>
        <w:tc>
          <w:tcPr>
            <w:tcW w:w="1417" w:type="dxa"/>
            <w:shd w:val="clear" w:color="auto" w:fill="F3F7FA"/>
            <w:tcMar>
              <w:top w:w="100" w:type="dxa"/>
              <w:left w:w="120" w:type="dxa"/>
              <w:bottom w:w="100" w:type="dxa"/>
              <w:right w:w="120" w:type="dxa"/>
            </w:tcMar>
            <w:vAlign w:val="center"/>
          </w:tcPr>
          <w:p w14:paraId="24BA9ECD">
            <w:pPr>
              <w:spacing w:after="0" w:line="264" w:lineRule="auto"/>
              <w:jc w:val="center"/>
            </w:pPr>
            <w:r>
              <w:rPr>
                <w:rFonts w:ascii="Times New Roman" w:hAnsi="Times New Roman" w:eastAsia="宋体"/>
                <w:color w:val="000000"/>
                <w:sz w:val="16"/>
              </w:rPr>
              <w:t>固定面积阈值是否合理</w:t>
            </w:r>
          </w:p>
        </w:tc>
        <w:tc>
          <w:tcPr>
            <w:tcW w:w="2268" w:type="dxa"/>
            <w:shd w:val="clear" w:color="auto" w:fill="F3F7FA"/>
            <w:tcMar>
              <w:top w:w="100" w:type="dxa"/>
              <w:left w:w="120" w:type="dxa"/>
              <w:bottom w:w="100" w:type="dxa"/>
              <w:right w:w="120" w:type="dxa"/>
            </w:tcMar>
            <w:vAlign w:val="center"/>
          </w:tcPr>
          <w:p w14:paraId="3B9425DC">
            <w:pPr>
              <w:spacing w:after="0" w:line="264" w:lineRule="auto"/>
              <w:jc w:val="left"/>
            </w:pPr>
            <w:r>
              <w:rPr>
                <w:rFonts w:ascii="Times New Roman" w:hAnsi="Times New Roman" w:eastAsia="宋体"/>
                <w:color w:val="000000"/>
                <w:sz w:val="16"/>
              </w:rPr>
              <w:t>面积过滤 vs 组件校核</w:t>
            </w:r>
          </w:p>
        </w:tc>
        <w:tc>
          <w:tcPr>
            <w:tcW w:w="1984" w:type="dxa"/>
            <w:shd w:val="clear" w:color="auto" w:fill="F3F7FA"/>
            <w:tcMar>
              <w:top w:w="100" w:type="dxa"/>
              <w:left w:w="120" w:type="dxa"/>
              <w:bottom w:w="100" w:type="dxa"/>
              <w:right w:w="120" w:type="dxa"/>
            </w:tcMar>
            <w:vAlign w:val="center"/>
          </w:tcPr>
          <w:p w14:paraId="17BBE194">
            <w:pPr>
              <w:spacing w:after="0" w:line="264" w:lineRule="auto"/>
              <w:jc w:val="left"/>
            </w:pPr>
            <w:r>
              <w:rPr>
                <w:rFonts w:ascii="Times New Roman" w:hAnsi="Times New Roman" w:eastAsia="宋体"/>
                <w:color w:val="000000"/>
                <w:sz w:val="16"/>
              </w:rPr>
              <w:t>真实特征过滤数、最大误报面积</w:t>
            </w:r>
          </w:p>
        </w:tc>
        <w:tc>
          <w:tcPr>
            <w:tcW w:w="2551" w:type="dxa"/>
            <w:shd w:val="clear" w:color="auto" w:fill="F3F7FA"/>
            <w:tcMar>
              <w:top w:w="100" w:type="dxa"/>
              <w:left w:w="120" w:type="dxa"/>
              <w:bottom w:w="100" w:type="dxa"/>
              <w:right w:w="120" w:type="dxa"/>
            </w:tcMar>
            <w:vAlign w:val="center"/>
          </w:tcPr>
          <w:p w14:paraId="774015D2">
            <w:pPr>
              <w:spacing w:after="0" w:line="264" w:lineRule="auto"/>
              <w:jc w:val="left"/>
            </w:pPr>
            <w:r>
              <w:rPr>
                <w:rFonts w:ascii="Times New Roman" w:hAnsi="Times New Roman" w:eastAsia="宋体"/>
                <w:color w:val="000000"/>
                <w:sz w:val="16"/>
              </w:rPr>
              <w:t>拓扑结构是否优于单一大小判断</w:t>
            </w:r>
          </w:p>
        </w:tc>
      </w:tr>
      <w:tr w14:paraId="66A2E7EF">
        <w:trPr>
          <w:jc w:val="center"/>
        </w:trPr>
        <w:tc>
          <w:tcPr>
            <w:tcW w:w="1417" w:type="dxa"/>
            <w:tcMar>
              <w:top w:w="100" w:type="dxa"/>
              <w:left w:w="120" w:type="dxa"/>
              <w:bottom w:w="100" w:type="dxa"/>
              <w:right w:w="120" w:type="dxa"/>
            </w:tcMar>
            <w:vAlign w:val="center"/>
          </w:tcPr>
          <w:p w14:paraId="56E7F4D9">
            <w:pPr>
              <w:spacing w:after="0" w:line="264" w:lineRule="auto"/>
              <w:jc w:val="center"/>
            </w:pPr>
            <w:r>
              <w:rPr>
                <w:rFonts w:ascii="Times New Roman" w:hAnsi="Times New Roman" w:eastAsia="宋体"/>
                <w:color w:val="000000"/>
                <w:sz w:val="16"/>
              </w:rPr>
              <w:t>组件量应放在哪里</w:t>
            </w:r>
          </w:p>
        </w:tc>
        <w:tc>
          <w:tcPr>
            <w:tcW w:w="2268" w:type="dxa"/>
            <w:tcMar>
              <w:top w:w="100" w:type="dxa"/>
              <w:left w:w="120" w:type="dxa"/>
              <w:bottom w:w="100" w:type="dxa"/>
              <w:right w:w="120" w:type="dxa"/>
            </w:tcMar>
            <w:vAlign w:val="center"/>
          </w:tcPr>
          <w:p w14:paraId="5AC35D8E">
            <w:pPr>
              <w:spacing w:after="0" w:line="264" w:lineRule="auto"/>
              <w:jc w:val="left"/>
            </w:pPr>
            <w:r>
              <w:rPr>
                <w:rFonts w:ascii="Times New Roman" w:hAnsi="Times New Roman" w:eastAsia="宋体"/>
                <w:color w:val="000000"/>
                <w:sz w:val="16"/>
              </w:rPr>
              <w:t>48 维输入 vs 加入 3 个组件量的 51 维输入</w:t>
            </w:r>
          </w:p>
        </w:tc>
        <w:tc>
          <w:tcPr>
            <w:tcW w:w="1984" w:type="dxa"/>
            <w:tcMar>
              <w:top w:w="100" w:type="dxa"/>
              <w:left w:w="120" w:type="dxa"/>
              <w:bottom w:w="100" w:type="dxa"/>
              <w:right w:w="120" w:type="dxa"/>
            </w:tcMar>
            <w:vAlign w:val="center"/>
          </w:tcPr>
          <w:p w14:paraId="58994A5D">
            <w:pPr>
              <w:spacing w:after="0" w:line="264" w:lineRule="auto"/>
              <w:jc w:val="left"/>
            </w:pPr>
            <w:r>
              <w:rPr>
                <w:rFonts w:ascii="Times New Roman" w:hAnsi="Times New Roman" w:eastAsia="宋体"/>
                <w:color w:val="000000"/>
                <w:sz w:val="16"/>
              </w:rPr>
              <w:t>DC-10 surface 召回与概率分布</w:t>
            </w:r>
          </w:p>
        </w:tc>
        <w:tc>
          <w:tcPr>
            <w:tcW w:w="2551" w:type="dxa"/>
            <w:tcMar>
              <w:top w:w="100" w:type="dxa"/>
              <w:left w:w="120" w:type="dxa"/>
              <w:bottom w:w="100" w:type="dxa"/>
              <w:right w:w="120" w:type="dxa"/>
            </w:tcMar>
            <w:vAlign w:val="center"/>
          </w:tcPr>
          <w:p w14:paraId="72AF7941">
            <w:pPr>
              <w:spacing w:after="0" w:line="264" w:lineRule="auto"/>
              <w:jc w:val="left"/>
            </w:pPr>
            <w:r>
              <w:rPr>
                <w:rFonts w:ascii="Times New Roman" w:hAnsi="Times New Roman" w:eastAsia="宋体"/>
                <w:color w:val="000000"/>
                <w:sz w:val="16"/>
              </w:rPr>
              <w:t>组件级信息作为后验校核是否更稳妥</w:t>
            </w:r>
          </w:p>
        </w:tc>
      </w:tr>
    </w:tbl>
    <w:p w14:paraId="613A8E05">
      <w:pPr>
        <w:widowControl/>
        <w:spacing w:after="0"/>
      </w:pPr>
      <w:r/>
    </w:p>
    <w:p w14:paraId="37356ECA">
      <w:pPr>
        <w:widowControl/>
        <w:spacing w:after="80" w:line="324" w:lineRule="auto"/>
        <w:ind w:firstLine="420"/>
      </w:pPr>
      <w:r>
        <w:t>51 维实验应作为负向消融，而不是替代正式模型。已观察到 DC-10 的 surface_feature 从 48 维模型的 91/102 个正确识别下降到 51 维模型的 0/102，说明同一光滑组件中的全局属性可能压制局部特征信号。正式投稿前需要在相同训练配置和多个随机种子下复验，避免把单次训练波动解释为确定因果。</w:t>
      </w:r>
    </w:p>
    <w:p w14:paraId="2875E2C7">
      <w:pPr>
        <w:pStyle w:val="4"/>
        <w:keepNext/>
        <w:widowControl/>
        <w:spacing w:before="140" w:after="80"/>
      </w:pPr>
      <w:r>
        <w:t>9 Qualitative Results and Case Studies</w:t>
      </w:r>
    </w:p>
    <w:p w14:paraId="2BC488DF">
      <w:pPr>
        <w:widowControl/>
        <w:spacing w:after="80" w:line="324" w:lineRule="auto"/>
        <w:ind w:firstLine="420"/>
      </w:pPr>
      <w:r>
        <w:t>每架测试飞机至少展示原始模型、真值、原始预测和必要时的组件校核结果。颜色必须固定并在图注解释。典型案例应同时包含正确识别、误报、漏检以及组件校核改变的预测；不得只展示成功案例。</w:t>
      </w:r>
    </w:p>
    <w:p w14:paraId="7AB3E331">
      <w:pPr>
        <w:pStyle w:val="4"/>
        <w:keepNext/>
        <w:widowControl/>
        <w:spacing w:before="140" w:after="80"/>
      </w:pPr>
      <w:r>
        <w:t>10 Discussion</w:t>
      </w:r>
    </w:p>
    <w:p w14:paraId="3E9A0608">
      <w:pPr>
        <w:pStyle w:val="5"/>
        <w:keepNext/>
        <w:widowControl/>
        <w:spacing w:before="140" w:after="80"/>
      </w:pPr>
      <w:r>
        <w:t>10.1 方法适用性</w:t>
      </w:r>
    </w:p>
    <w:p w14:paraId="3B859F5E">
      <w:pPr>
        <w:widowControl/>
        <w:spacing w:after="80" w:line="324" w:lineRule="auto"/>
        <w:ind w:firstLine="420"/>
      </w:pPr>
      <w:r>
        <w:t>讨论双专家架构对不同风险类别的适应性、整机级划分的意义，以及 face_id 追溯对后续 CAD 操作的价值。</w:t>
      </w:r>
    </w:p>
    <w:p w14:paraId="7D86877C">
      <w:pPr>
        <w:pStyle w:val="5"/>
        <w:keepNext/>
        <w:widowControl/>
        <w:spacing w:before="140" w:after="80"/>
      </w:pPr>
      <w:r>
        <w:t>10.2 局限性</w:t>
      </w:r>
    </w:p>
    <w:p w14:paraId="58B0C4B2">
      <w:pPr>
        <w:pStyle w:val="16"/>
        <w:widowControl/>
        <w:spacing w:after="40" w:line="300" w:lineRule="auto"/>
        <w:ind w:left="425" w:hanging="198"/>
      </w:pPr>
      <w:r>
        <w:t>数据仅覆盖有限数量的飞机，尚不能证明对所有 CAD 来源和飞机类型普遍有效。</w:t>
      </w:r>
    </w:p>
    <w:p w14:paraId="173803CA">
      <w:pPr>
        <w:pStyle w:val="16"/>
        <w:widowControl/>
        <w:spacing w:after="40" w:line="300" w:lineRule="auto"/>
        <w:ind w:left="425" w:hanging="198"/>
      </w:pPr>
      <w:r>
        <w:t>测试集中 surface_feature 分布不均衡，例如 109 只有一个真实 surface 面，精度指标容易剧烈波动。</w:t>
      </w:r>
    </w:p>
    <w:p w14:paraId="1C93B815">
      <w:pPr>
        <w:pStyle w:val="16"/>
        <w:widowControl/>
        <w:spacing w:after="40" w:line="300" w:lineRule="auto"/>
        <w:ind w:left="425" w:hanging="198"/>
      </w:pPr>
      <w:r>
        <w:t>当前评价主要是面级分类，尚未形成删除后几何有效性、网格数量和仿真误差闭环。</w:t>
      </w:r>
    </w:p>
    <w:p w14:paraId="65C46BAE">
      <w:pPr>
        <w:pStyle w:val="16"/>
        <w:widowControl/>
        <w:spacing w:after="40" w:line="300" w:lineRule="auto"/>
        <w:ind w:left="425" w:hanging="198"/>
      </w:pPr>
      <w:r>
        <w:t>组件级校核含工程规则，必须公开参数并通过独立消融验证其泛化性。</w:t>
      </w:r>
    </w:p>
    <w:p w14:paraId="1A687A16">
      <w:pPr>
        <w:pStyle w:val="16"/>
        <w:widowControl/>
        <w:spacing w:after="40" w:line="300" w:lineRule="auto"/>
        <w:ind w:left="425" w:hanging="198"/>
      </w:pPr>
      <w:r>
        <w:t>当前测试集曾参与历史模型比较时，需要在论文中如实说明，或者增加从未用于选型的新飞机测试集。</w:t>
      </w:r>
    </w:p>
    <w:p w14:paraId="4D9AFB39">
      <w:pPr>
        <w:pStyle w:val="4"/>
        <w:keepNext/>
        <w:widowControl/>
        <w:spacing w:before="140" w:after="80"/>
      </w:pPr>
      <w:r>
        <w:t>11 Conclusion</w:t>
      </w:r>
    </w:p>
    <w:p w14:paraId="458D2677">
      <w:pPr>
        <w:widowControl/>
        <w:spacing w:after="80" w:line="324" w:lineRule="auto"/>
        <w:ind w:firstLine="420"/>
      </w:pPr>
      <w:r>
        <w:t>结论应回答三个问题：B-Rep 面图能否支持飞机小特征识别，双专家架构是否在未见完整飞机上保持稳定，以及预测能否以可靠 face_id 输出。组件级拓扑一致性校核只有在消融充分时才作为结论之一；否则写为提高候选可靠性的工程探索。</w:t>
      </w:r>
    </w:p>
    <w:p w14:paraId="0A956C65">
      <w:pPr>
        <w:pStyle w:val="3"/>
        <w:keepNext/>
        <w:widowControl/>
        <w:spacing w:before="200" w:after="80"/>
      </w:pPr>
      <w:r>
        <w:t>五 建议图表配置</w:t>
      </w:r>
    </w:p>
    <w:p w14:paraId="7A56BFA9">
      <w:pPr>
        <w:pStyle w:val="4"/>
        <w:keepNext/>
        <w:widowControl/>
        <w:spacing w:before="140" w:after="80"/>
      </w:pPr>
      <w:r>
        <w:t>1 建议图片</w:t>
      </w:r>
    </w:p>
    <w:tbl>
      <w:tblPr>
        <w:tblStyle w:val="33"/>
        <w:tblW w:w="0" w:type="auto"/>
        <w:jc w:val="center"/>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Layout w:type="fixed"/>
        <w:tblCellMar>
          <w:top w:w="0" w:type="dxa"/>
          <w:left w:w="108" w:type="dxa"/>
          <w:bottom w:w="0" w:type="dxa"/>
          <w:right w:w="108" w:type="dxa"/>
        </w:tblCellMar>
      </w:tblPr>
      <w:tblGrid>
        <w:gridCol w:w="3135"/>
        <w:gridCol w:w="3135"/>
        <w:gridCol w:w="3135"/>
      </w:tblGrid>
      <w:tr w14:paraId="0EB9690E">
        <w:trPr>
          <w:tblHeader/>
          <w:jc w:val="center"/>
        </w:trPr>
        <w:tc>
          <w:tcPr>
            <w:tcW w:w="1134" w:type="dxa"/>
            <w:shd w:val="clear" w:color="auto" w:fill="1F4E78"/>
            <w:tcMar>
              <w:top w:w="100" w:type="dxa"/>
              <w:left w:w="120" w:type="dxa"/>
              <w:bottom w:w="100" w:type="dxa"/>
              <w:right w:w="120" w:type="dxa"/>
            </w:tcMar>
            <w:vAlign w:val="center"/>
          </w:tcPr>
          <w:p w14:paraId="5C9EBB7B">
            <w:pPr>
              <w:jc w:val="center"/>
            </w:pPr>
            <w:r>
              <w:rPr>
                <w:rFonts w:ascii="Times New Roman" w:hAnsi="Times New Roman" w:eastAsia="微软雅黑"/>
                <w:b/>
                <w:color w:val="FFFFFF"/>
                <w:sz w:val="17"/>
              </w:rPr>
              <w:t>编号</w:t>
            </w:r>
          </w:p>
        </w:tc>
        <w:tc>
          <w:tcPr>
            <w:tcW w:w="3969" w:type="dxa"/>
            <w:shd w:val="clear" w:color="auto" w:fill="1F4E78"/>
            <w:tcMar>
              <w:top w:w="100" w:type="dxa"/>
              <w:left w:w="120" w:type="dxa"/>
              <w:bottom w:w="100" w:type="dxa"/>
              <w:right w:w="120" w:type="dxa"/>
            </w:tcMar>
            <w:vAlign w:val="center"/>
          </w:tcPr>
          <w:p w14:paraId="5551E248">
            <w:pPr>
              <w:jc w:val="center"/>
            </w:pPr>
            <w:r>
              <w:rPr>
                <w:rFonts w:ascii="Times New Roman" w:hAnsi="Times New Roman" w:eastAsia="微软雅黑"/>
                <w:b/>
                <w:color w:val="FFFFFF"/>
                <w:sz w:val="17"/>
              </w:rPr>
              <w:t>内容</w:t>
            </w:r>
          </w:p>
        </w:tc>
        <w:tc>
          <w:tcPr>
            <w:tcW w:w="3005" w:type="dxa"/>
            <w:shd w:val="clear" w:color="auto" w:fill="1F4E78"/>
            <w:tcMar>
              <w:top w:w="100" w:type="dxa"/>
              <w:left w:w="120" w:type="dxa"/>
              <w:bottom w:w="100" w:type="dxa"/>
              <w:right w:w="120" w:type="dxa"/>
            </w:tcMar>
            <w:vAlign w:val="center"/>
          </w:tcPr>
          <w:p w14:paraId="1A301185">
            <w:pPr>
              <w:jc w:val="center"/>
            </w:pPr>
            <w:r>
              <w:rPr>
                <w:rFonts w:ascii="Times New Roman" w:hAnsi="Times New Roman" w:eastAsia="微软雅黑"/>
                <w:b/>
                <w:color w:val="FFFFFF"/>
                <w:sz w:val="17"/>
              </w:rPr>
              <w:t>目的</w:t>
            </w:r>
          </w:p>
        </w:tc>
      </w:tr>
      <w:tr w14:paraId="4ED3300F">
        <w:trPr>
          <w:jc w:val="center"/>
        </w:trPr>
        <w:tc>
          <w:tcPr>
            <w:tcW w:w="1134" w:type="dxa"/>
            <w:tcMar>
              <w:top w:w="100" w:type="dxa"/>
              <w:left w:w="120" w:type="dxa"/>
              <w:bottom w:w="100" w:type="dxa"/>
              <w:right w:w="120" w:type="dxa"/>
            </w:tcMar>
            <w:vAlign w:val="center"/>
          </w:tcPr>
          <w:p w14:paraId="62142503">
            <w:pPr>
              <w:spacing w:after="0" w:line="264" w:lineRule="auto"/>
              <w:jc w:val="center"/>
            </w:pPr>
            <w:r>
              <w:rPr>
                <w:rFonts w:ascii="Times New Roman" w:hAnsi="Times New Roman" w:eastAsia="宋体"/>
                <w:color w:val="000000"/>
                <w:sz w:val="17"/>
              </w:rPr>
              <w:t>Figure 1</w:t>
            </w:r>
          </w:p>
        </w:tc>
        <w:tc>
          <w:tcPr>
            <w:tcW w:w="3969" w:type="dxa"/>
            <w:tcMar>
              <w:top w:w="100" w:type="dxa"/>
              <w:left w:w="120" w:type="dxa"/>
              <w:bottom w:w="100" w:type="dxa"/>
              <w:right w:w="120" w:type="dxa"/>
            </w:tcMar>
            <w:vAlign w:val="center"/>
          </w:tcPr>
          <w:p w14:paraId="4D6B5C69">
            <w:pPr>
              <w:spacing w:after="0" w:line="264" w:lineRule="auto"/>
              <w:jc w:val="left"/>
            </w:pPr>
            <w:r>
              <w:rPr>
                <w:rFonts w:ascii="Times New Roman" w:hAnsi="Times New Roman" w:eastAsia="宋体"/>
                <w:color w:val="000000"/>
                <w:sz w:val="17"/>
              </w:rPr>
              <w:t>从 STEP 到 face_id 候选输出的总体流程</w:t>
            </w:r>
          </w:p>
        </w:tc>
        <w:tc>
          <w:tcPr>
            <w:tcW w:w="3005" w:type="dxa"/>
            <w:tcMar>
              <w:top w:w="100" w:type="dxa"/>
              <w:left w:w="120" w:type="dxa"/>
              <w:bottom w:w="100" w:type="dxa"/>
              <w:right w:w="120" w:type="dxa"/>
            </w:tcMar>
            <w:vAlign w:val="center"/>
          </w:tcPr>
          <w:p w14:paraId="52F38DC4">
            <w:pPr>
              <w:spacing w:after="0" w:line="264" w:lineRule="auto"/>
              <w:jc w:val="left"/>
            </w:pPr>
            <w:r>
              <w:rPr>
                <w:rFonts w:ascii="Times New Roman" w:hAnsi="Times New Roman" w:eastAsia="宋体"/>
                <w:color w:val="000000"/>
                <w:sz w:val="17"/>
              </w:rPr>
              <w:t>建立全文方法主线</w:t>
            </w:r>
          </w:p>
        </w:tc>
      </w:tr>
      <w:tr w14:paraId="08D5457E">
        <w:trPr>
          <w:jc w:val="center"/>
        </w:trPr>
        <w:tc>
          <w:tcPr>
            <w:tcW w:w="1134" w:type="dxa"/>
            <w:shd w:val="clear" w:color="auto" w:fill="F3F7FA"/>
            <w:tcMar>
              <w:top w:w="100" w:type="dxa"/>
              <w:left w:w="120" w:type="dxa"/>
              <w:bottom w:w="100" w:type="dxa"/>
              <w:right w:w="120" w:type="dxa"/>
            </w:tcMar>
            <w:vAlign w:val="center"/>
          </w:tcPr>
          <w:p w14:paraId="5540A63B">
            <w:pPr>
              <w:spacing w:after="0" w:line="264" w:lineRule="auto"/>
              <w:jc w:val="center"/>
            </w:pPr>
            <w:r>
              <w:rPr>
                <w:rFonts w:ascii="Times New Roman" w:hAnsi="Times New Roman" w:eastAsia="宋体"/>
                <w:color w:val="000000"/>
                <w:sz w:val="17"/>
              </w:rPr>
              <w:t>Figure 2</w:t>
            </w:r>
          </w:p>
        </w:tc>
        <w:tc>
          <w:tcPr>
            <w:tcW w:w="3969" w:type="dxa"/>
            <w:shd w:val="clear" w:color="auto" w:fill="F3F7FA"/>
            <w:tcMar>
              <w:top w:w="100" w:type="dxa"/>
              <w:left w:w="120" w:type="dxa"/>
              <w:bottom w:w="100" w:type="dxa"/>
              <w:right w:w="120" w:type="dxa"/>
            </w:tcMar>
            <w:vAlign w:val="center"/>
          </w:tcPr>
          <w:p w14:paraId="45205539">
            <w:pPr>
              <w:spacing w:after="0" w:line="264" w:lineRule="auto"/>
              <w:jc w:val="left"/>
            </w:pPr>
            <w:r>
              <w:rPr>
                <w:rFonts w:ascii="Times New Roman" w:hAnsi="Times New Roman" w:eastAsia="宋体"/>
                <w:color w:val="000000"/>
                <w:sz w:val="17"/>
              </w:rPr>
              <w:t>B-Rep 面邻接图及节点边特征示意</w:t>
            </w:r>
          </w:p>
        </w:tc>
        <w:tc>
          <w:tcPr>
            <w:tcW w:w="3005" w:type="dxa"/>
            <w:shd w:val="clear" w:color="auto" w:fill="F3F7FA"/>
            <w:tcMar>
              <w:top w:w="100" w:type="dxa"/>
              <w:left w:w="120" w:type="dxa"/>
              <w:bottom w:w="100" w:type="dxa"/>
              <w:right w:w="120" w:type="dxa"/>
            </w:tcMar>
            <w:vAlign w:val="center"/>
          </w:tcPr>
          <w:p w14:paraId="473EF8B9">
            <w:pPr>
              <w:spacing w:after="0" w:line="264" w:lineRule="auto"/>
              <w:jc w:val="left"/>
            </w:pPr>
            <w:r>
              <w:rPr>
                <w:rFonts w:ascii="Times New Roman" w:hAnsi="Times New Roman" w:eastAsia="宋体"/>
                <w:color w:val="000000"/>
                <w:sz w:val="17"/>
              </w:rPr>
              <w:t>说明图表示</w:t>
            </w:r>
          </w:p>
        </w:tc>
      </w:tr>
      <w:tr w14:paraId="305B9A65">
        <w:trPr>
          <w:jc w:val="center"/>
        </w:trPr>
        <w:tc>
          <w:tcPr>
            <w:tcW w:w="1134" w:type="dxa"/>
            <w:tcMar>
              <w:top w:w="100" w:type="dxa"/>
              <w:left w:w="120" w:type="dxa"/>
              <w:bottom w:w="100" w:type="dxa"/>
              <w:right w:w="120" w:type="dxa"/>
            </w:tcMar>
            <w:vAlign w:val="center"/>
          </w:tcPr>
          <w:p w14:paraId="76BAC223">
            <w:pPr>
              <w:spacing w:after="0" w:line="264" w:lineRule="auto"/>
              <w:jc w:val="center"/>
            </w:pPr>
            <w:r>
              <w:rPr>
                <w:rFonts w:ascii="Times New Roman" w:hAnsi="Times New Roman" w:eastAsia="宋体"/>
                <w:color w:val="000000"/>
                <w:sz w:val="17"/>
              </w:rPr>
              <w:t>Figure 3</w:t>
            </w:r>
          </w:p>
        </w:tc>
        <w:tc>
          <w:tcPr>
            <w:tcW w:w="3969" w:type="dxa"/>
            <w:tcMar>
              <w:top w:w="100" w:type="dxa"/>
              <w:left w:w="120" w:type="dxa"/>
              <w:bottom w:w="100" w:type="dxa"/>
              <w:right w:w="120" w:type="dxa"/>
            </w:tcMar>
            <w:vAlign w:val="center"/>
          </w:tcPr>
          <w:p w14:paraId="34A03EE6">
            <w:pPr>
              <w:spacing w:after="0" w:line="264" w:lineRule="auto"/>
              <w:jc w:val="left"/>
            </w:pPr>
            <w:r>
              <w:rPr>
                <w:rFonts w:ascii="Times New Roman" w:hAnsi="Times New Roman" w:eastAsia="宋体"/>
                <w:color w:val="000000"/>
                <w:sz w:val="17"/>
              </w:rPr>
              <w:t>双专家 GNN 与决策融合结构</w:t>
            </w:r>
          </w:p>
        </w:tc>
        <w:tc>
          <w:tcPr>
            <w:tcW w:w="3005" w:type="dxa"/>
            <w:tcMar>
              <w:top w:w="100" w:type="dxa"/>
              <w:left w:w="120" w:type="dxa"/>
              <w:bottom w:w="100" w:type="dxa"/>
              <w:right w:w="120" w:type="dxa"/>
            </w:tcMar>
            <w:vAlign w:val="center"/>
          </w:tcPr>
          <w:p w14:paraId="31DF9BCA">
            <w:pPr>
              <w:spacing w:after="0" w:line="264" w:lineRule="auto"/>
              <w:jc w:val="left"/>
            </w:pPr>
            <w:r>
              <w:rPr>
                <w:rFonts w:ascii="Times New Roman" w:hAnsi="Times New Roman" w:eastAsia="宋体"/>
                <w:color w:val="000000"/>
                <w:sz w:val="17"/>
              </w:rPr>
              <w:t>展示核心模型</w:t>
            </w:r>
          </w:p>
        </w:tc>
      </w:tr>
      <w:tr w14:paraId="3AE35E2C">
        <w:trPr>
          <w:jc w:val="center"/>
        </w:trPr>
        <w:tc>
          <w:tcPr>
            <w:tcW w:w="1134" w:type="dxa"/>
            <w:shd w:val="clear" w:color="auto" w:fill="F3F7FA"/>
            <w:tcMar>
              <w:top w:w="100" w:type="dxa"/>
              <w:left w:w="120" w:type="dxa"/>
              <w:bottom w:w="100" w:type="dxa"/>
              <w:right w:w="120" w:type="dxa"/>
            </w:tcMar>
            <w:vAlign w:val="center"/>
          </w:tcPr>
          <w:p w14:paraId="7B4FD5F4">
            <w:pPr>
              <w:spacing w:after="0" w:line="264" w:lineRule="auto"/>
              <w:jc w:val="center"/>
            </w:pPr>
            <w:r>
              <w:rPr>
                <w:rFonts w:ascii="Times New Roman" w:hAnsi="Times New Roman" w:eastAsia="宋体"/>
                <w:color w:val="000000"/>
                <w:sz w:val="17"/>
              </w:rPr>
              <w:t>Figure 4</w:t>
            </w:r>
          </w:p>
        </w:tc>
        <w:tc>
          <w:tcPr>
            <w:tcW w:w="3969" w:type="dxa"/>
            <w:shd w:val="clear" w:color="auto" w:fill="F3F7FA"/>
            <w:tcMar>
              <w:top w:w="100" w:type="dxa"/>
              <w:left w:w="120" w:type="dxa"/>
              <w:bottom w:w="100" w:type="dxa"/>
              <w:right w:w="120" w:type="dxa"/>
            </w:tcMar>
            <w:vAlign w:val="center"/>
          </w:tcPr>
          <w:p w14:paraId="038937BB">
            <w:pPr>
              <w:spacing w:after="0" w:line="264" w:lineRule="auto"/>
              <w:jc w:val="left"/>
            </w:pPr>
            <w:r>
              <w:rPr>
                <w:rFonts w:ascii="Times New Roman" w:hAnsi="Times New Roman" w:eastAsia="宋体"/>
                <w:color w:val="000000"/>
                <w:sz w:val="17"/>
              </w:rPr>
              <w:t>局部面预测与光滑组件结构关系</w:t>
            </w:r>
          </w:p>
        </w:tc>
        <w:tc>
          <w:tcPr>
            <w:tcW w:w="3005" w:type="dxa"/>
            <w:shd w:val="clear" w:color="auto" w:fill="F3F7FA"/>
            <w:tcMar>
              <w:top w:w="100" w:type="dxa"/>
              <w:left w:w="120" w:type="dxa"/>
              <w:bottom w:w="100" w:type="dxa"/>
              <w:right w:w="120" w:type="dxa"/>
            </w:tcMar>
            <w:vAlign w:val="center"/>
          </w:tcPr>
          <w:p w14:paraId="4596FC6F">
            <w:pPr>
              <w:spacing w:after="0" w:line="264" w:lineRule="auto"/>
              <w:jc w:val="left"/>
            </w:pPr>
            <w:r>
              <w:rPr>
                <w:rFonts w:ascii="Times New Roman" w:hAnsi="Times New Roman" w:eastAsia="宋体"/>
                <w:color w:val="000000"/>
                <w:sz w:val="17"/>
              </w:rPr>
              <w:t>解释组件级拓扑一致性</w:t>
            </w:r>
          </w:p>
        </w:tc>
      </w:tr>
      <w:tr w14:paraId="379572EE">
        <w:trPr>
          <w:jc w:val="center"/>
        </w:trPr>
        <w:tc>
          <w:tcPr>
            <w:tcW w:w="1134" w:type="dxa"/>
            <w:tcMar>
              <w:top w:w="100" w:type="dxa"/>
              <w:left w:w="120" w:type="dxa"/>
              <w:bottom w:w="100" w:type="dxa"/>
              <w:right w:w="120" w:type="dxa"/>
            </w:tcMar>
            <w:vAlign w:val="center"/>
          </w:tcPr>
          <w:p w14:paraId="1AD5AB20">
            <w:pPr>
              <w:spacing w:after="0" w:line="264" w:lineRule="auto"/>
              <w:jc w:val="center"/>
            </w:pPr>
            <w:r>
              <w:rPr>
                <w:rFonts w:ascii="Times New Roman" w:hAnsi="Times New Roman" w:eastAsia="宋体"/>
                <w:color w:val="000000"/>
                <w:sz w:val="17"/>
              </w:rPr>
              <w:t>Figure 5</w:t>
            </w:r>
          </w:p>
        </w:tc>
        <w:tc>
          <w:tcPr>
            <w:tcW w:w="3969" w:type="dxa"/>
            <w:tcMar>
              <w:top w:w="100" w:type="dxa"/>
              <w:left w:w="120" w:type="dxa"/>
              <w:bottom w:w="100" w:type="dxa"/>
              <w:right w:w="120" w:type="dxa"/>
            </w:tcMar>
            <w:vAlign w:val="center"/>
          </w:tcPr>
          <w:p w14:paraId="29E6C4E4">
            <w:pPr>
              <w:spacing w:after="0" w:line="264" w:lineRule="auto"/>
              <w:jc w:val="left"/>
            </w:pPr>
            <w:r>
              <w:rPr>
                <w:rFonts w:ascii="Times New Roman" w:hAnsi="Times New Roman" w:eastAsia="宋体"/>
                <w:color w:val="000000"/>
                <w:sz w:val="17"/>
              </w:rPr>
              <w:t>四架测试飞机的真值和预测可视化</w:t>
            </w:r>
          </w:p>
        </w:tc>
        <w:tc>
          <w:tcPr>
            <w:tcW w:w="3005" w:type="dxa"/>
            <w:tcMar>
              <w:top w:w="100" w:type="dxa"/>
              <w:left w:w="120" w:type="dxa"/>
              <w:bottom w:w="100" w:type="dxa"/>
              <w:right w:w="120" w:type="dxa"/>
            </w:tcMar>
            <w:vAlign w:val="center"/>
          </w:tcPr>
          <w:p w14:paraId="42D8C5EB">
            <w:pPr>
              <w:spacing w:after="0" w:line="264" w:lineRule="auto"/>
              <w:jc w:val="left"/>
            </w:pPr>
            <w:r>
              <w:rPr>
                <w:rFonts w:ascii="Times New Roman" w:hAnsi="Times New Roman" w:eastAsia="宋体"/>
                <w:color w:val="000000"/>
                <w:sz w:val="17"/>
              </w:rPr>
              <w:t>展示跨飞机表现</w:t>
            </w:r>
          </w:p>
        </w:tc>
      </w:tr>
      <w:tr w14:paraId="4710B8BE">
        <w:trPr>
          <w:jc w:val="center"/>
        </w:trPr>
        <w:tc>
          <w:tcPr>
            <w:tcW w:w="1134" w:type="dxa"/>
            <w:shd w:val="clear" w:color="auto" w:fill="F3F7FA"/>
            <w:tcMar>
              <w:top w:w="100" w:type="dxa"/>
              <w:left w:w="120" w:type="dxa"/>
              <w:bottom w:w="100" w:type="dxa"/>
              <w:right w:w="120" w:type="dxa"/>
            </w:tcMar>
            <w:vAlign w:val="center"/>
          </w:tcPr>
          <w:p w14:paraId="4E67CE24">
            <w:pPr>
              <w:spacing w:after="0" w:line="264" w:lineRule="auto"/>
              <w:jc w:val="center"/>
            </w:pPr>
            <w:r>
              <w:rPr>
                <w:rFonts w:ascii="Times New Roman" w:hAnsi="Times New Roman" w:eastAsia="宋体"/>
                <w:color w:val="000000"/>
                <w:sz w:val="17"/>
              </w:rPr>
              <w:t>Figure 6</w:t>
            </w:r>
          </w:p>
        </w:tc>
        <w:tc>
          <w:tcPr>
            <w:tcW w:w="3969" w:type="dxa"/>
            <w:shd w:val="clear" w:color="auto" w:fill="F3F7FA"/>
            <w:tcMar>
              <w:top w:w="100" w:type="dxa"/>
              <w:left w:w="120" w:type="dxa"/>
              <w:bottom w:w="100" w:type="dxa"/>
              <w:right w:w="120" w:type="dxa"/>
            </w:tcMar>
            <w:vAlign w:val="center"/>
          </w:tcPr>
          <w:p w14:paraId="20F87588">
            <w:pPr>
              <w:spacing w:after="0" w:line="264" w:lineRule="auto"/>
              <w:jc w:val="left"/>
            </w:pPr>
            <w:r>
              <w:rPr>
                <w:rFonts w:ascii="Times New Roman" w:hAnsi="Times New Roman" w:eastAsia="宋体"/>
                <w:color w:val="000000"/>
                <w:sz w:val="17"/>
              </w:rPr>
              <w:t>典型 TP FP FN 案例</w:t>
            </w:r>
          </w:p>
        </w:tc>
        <w:tc>
          <w:tcPr>
            <w:tcW w:w="3005" w:type="dxa"/>
            <w:shd w:val="clear" w:color="auto" w:fill="F3F7FA"/>
            <w:tcMar>
              <w:top w:w="100" w:type="dxa"/>
              <w:left w:w="120" w:type="dxa"/>
              <w:bottom w:w="100" w:type="dxa"/>
              <w:right w:w="120" w:type="dxa"/>
            </w:tcMar>
            <w:vAlign w:val="center"/>
          </w:tcPr>
          <w:p w14:paraId="31CCC12A">
            <w:pPr>
              <w:spacing w:after="0" w:line="264" w:lineRule="auto"/>
              <w:jc w:val="left"/>
            </w:pPr>
            <w:r>
              <w:rPr>
                <w:rFonts w:ascii="Times New Roman" w:hAnsi="Times New Roman" w:eastAsia="宋体"/>
                <w:color w:val="000000"/>
                <w:sz w:val="17"/>
              </w:rPr>
              <w:t>支持误差分析</w:t>
            </w:r>
          </w:p>
        </w:tc>
      </w:tr>
      <w:tr w14:paraId="6A72EB2C">
        <w:trPr>
          <w:jc w:val="center"/>
        </w:trPr>
        <w:tc>
          <w:tcPr>
            <w:tcW w:w="1134" w:type="dxa"/>
            <w:tcMar>
              <w:top w:w="100" w:type="dxa"/>
              <w:left w:w="120" w:type="dxa"/>
              <w:bottom w:w="100" w:type="dxa"/>
              <w:right w:w="120" w:type="dxa"/>
            </w:tcMar>
            <w:vAlign w:val="center"/>
          </w:tcPr>
          <w:p w14:paraId="49A8C68A">
            <w:pPr>
              <w:spacing w:after="0" w:line="264" w:lineRule="auto"/>
              <w:jc w:val="center"/>
            </w:pPr>
            <w:r>
              <w:rPr>
                <w:rFonts w:ascii="Times New Roman" w:hAnsi="Times New Roman" w:eastAsia="宋体"/>
                <w:color w:val="000000"/>
                <w:sz w:val="17"/>
              </w:rPr>
              <w:t>Figure 7</w:t>
            </w:r>
          </w:p>
        </w:tc>
        <w:tc>
          <w:tcPr>
            <w:tcW w:w="3969" w:type="dxa"/>
            <w:tcMar>
              <w:top w:w="100" w:type="dxa"/>
              <w:left w:w="120" w:type="dxa"/>
              <w:bottom w:w="100" w:type="dxa"/>
              <w:right w:w="120" w:type="dxa"/>
            </w:tcMar>
            <w:vAlign w:val="center"/>
          </w:tcPr>
          <w:p w14:paraId="67FBEEB6">
            <w:pPr>
              <w:spacing w:after="0" w:line="264" w:lineRule="auto"/>
              <w:jc w:val="left"/>
            </w:pPr>
            <w:r>
              <w:rPr>
                <w:rFonts w:ascii="Times New Roman" w:hAnsi="Times New Roman" w:eastAsia="宋体"/>
                <w:color w:val="000000"/>
                <w:sz w:val="17"/>
              </w:rPr>
              <w:t>48 维和 51 维在 DC-10 上的概率分布</w:t>
            </w:r>
          </w:p>
        </w:tc>
        <w:tc>
          <w:tcPr>
            <w:tcW w:w="3005" w:type="dxa"/>
            <w:tcMar>
              <w:top w:w="100" w:type="dxa"/>
              <w:left w:w="120" w:type="dxa"/>
              <w:bottom w:w="100" w:type="dxa"/>
              <w:right w:w="120" w:type="dxa"/>
            </w:tcMar>
            <w:vAlign w:val="center"/>
          </w:tcPr>
          <w:p w14:paraId="6168333E">
            <w:pPr>
              <w:spacing w:after="0" w:line="264" w:lineRule="auto"/>
              <w:jc w:val="left"/>
            </w:pPr>
            <w:r>
              <w:rPr>
                <w:rFonts w:ascii="Times New Roman" w:hAnsi="Times New Roman" w:eastAsia="宋体"/>
                <w:color w:val="000000"/>
                <w:sz w:val="17"/>
              </w:rPr>
              <w:t>支持负向消融</w:t>
            </w:r>
          </w:p>
        </w:tc>
      </w:tr>
    </w:tbl>
    <w:p w14:paraId="2CF6D45B">
      <w:pPr>
        <w:widowControl/>
        <w:spacing w:after="0"/>
      </w:pPr>
      <w:r/>
    </w:p>
    <w:p w14:paraId="768C00D4">
      <w:pPr>
        <w:pStyle w:val="4"/>
        <w:keepNext/>
        <w:widowControl/>
        <w:spacing w:before="140" w:after="80"/>
      </w:pPr>
      <w:r>
        <w:t>2 建议表格</w:t>
      </w:r>
    </w:p>
    <w:tbl>
      <w:tblPr>
        <w:tblStyle w:val="33"/>
        <w:tblW w:w="0" w:type="auto"/>
        <w:jc w:val="center"/>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Layout w:type="fixed"/>
        <w:tblCellMar>
          <w:top w:w="0" w:type="dxa"/>
          <w:left w:w="108" w:type="dxa"/>
          <w:bottom w:w="0" w:type="dxa"/>
          <w:right w:w="108" w:type="dxa"/>
        </w:tblCellMar>
      </w:tblPr>
      <w:tblGrid>
        <w:gridCol w:w="3135"/>
        <w:gridCol w:w="3135"/>
        <w:gridCol w:w="3135"/>
      </w:tblGrid>
      <w:tr w14:paraId="3DC0B480">
        <w:trPr>
          <w:tblHeader/>
          <w:jc w:val="center"/>
        </w:trPr>
        <w:tc>
          <w:tcPr>
            <w:tcW w:w="1134" w:type="dxa"/>
            <w:shd w:val="clear" w:color="auto" w:fill="1F4E78"/>
            <w:tcMar>
              <w:top w:w="100" w:type="dxa"/>
              <w:left w:w="120" w:type="dxa"/>
              <w:bottom w:w="100" w:type="dxa"/>
              <w:right w:w="120" w:type="dxa"/>
            </w:tcMar>
            <w:vAlign w:val="center"/>
          </w:tcPr>
          <w:p w14:paraId="0D002B06">
            <w:pPr>
              <w:jc w:val="center"/>
            </w:pPr>
            <w:r>
              <w:rPr>
                <w:rFonts w:ascii="Times New Roman" w:hAnsi="Times New Roman" w:eastAsia="微软雅黑"/>
                <w:b/>
                <w:color w:val="FFFFFF"/>
                <w:sz w:val="17"/>
              </w:rPr>
              <w:t>编号</w:t>
            </w:r>
          </w:p>
        </w:tc>
        <w:tc>
          <w:tcPr>
            <w:tcW w:w="3969" w:type="dxa"/>
            <w:shd w:val="clear" w:color="auto" w:fill="1F4E78"/>
            <w:tcMar>
              <w:top w:w="100" w:type="dxa"/>
              <w:left w:w="120" w:type="dxa"/>
              <w:bottom w:w="100" w:type="dxa"/>
              <w:right w:w="120" w:type="dxa"/>
            </w:tcMar>
            <w:vAlign w:val="center"/>
          </w:tcPr>
          <w:p w14:paraId="7F8E6B7F">
            <w:pPr>
              <w:jc w:val="center"/>
            </w:pPr>
            <w:r>
              <w:rPr>
                <w:rFonts w:ascii="Times New Roman" w:hAnsi="Times New Roman" w:eastAsia="微软雅黑"/>
                <w:b/>
                <w:color w:val="FFFFFF"/>
                <w:sz w:val="17"/>
              </w:rPr>
              <w:t>内容</w:t>
            </w:r>
          </w:p>
        </w:tc>
        <w:tc>
          <w:tcPr>
            <w:tcW w:w="3005" w:type="dxa"/>
            <w:shd w:val="clear" w:color="auto" w:fill="1F4E78"/>
            <w:tcMar>
              <w:top w:w="100" w:type="dxa"/>
              <w:left w:w="120" w:type="dxa"/>
              <w:bottom w:w="100" w:type="dxa"/>
              <w:right w:w="120" w:type="dxa"/>
            </w:tcMar>
            <w:vAlign w:val="center"/>
          </w:tcPr>
          <w:p w14:paraId="222F4579">
            <w:pPr>
              <w:jc w:val="center"/>
            </w:pPr>
            <w:r>
              <w:rPr>
                <w:rFonts w:ascii="Times New Roman" w:hAnsi="Times New Roman" w:eastAsia="微软雅黑"/>
                <w:b/>
                <w:color w:val="FFFFFF"/>
                <w:sz w:val="17"/>
              </w:rPr>
              <w:t>注意事项</w:t>
            </w:r>
          </w:p>
        </w:tc>
      </w:tr>
      <w:tr w14:paraId="574E31CE">
        <w:trPr>
          <w:jc w:val="center"/>
        </w:trPr>
        <w:tc>
          <w:tcPr>
            <w:tcW w:w="1134" w:type="dxa"/>
            <w:tcMar>
              <w:top w:w="100" w:type="dxa"/>
              <w:left w:w="120" w:type="dxa"/>
              <w:bottom w:w="100" w:type="dxa"/>
              <w:right w:w="120" w:type="dxa"/>
            </w:tcMar>
            <w:vAlign w:val="center"/>
          </w:tcPr>
          <w:p w14:paraId="3AE3AA39">
            <w:pPr>
              <w:spacing w:after="0" w:line="264" w:lineRule="auto"/>
              <w:jc w:val="center"/>
            </w:pPr>
            <w:r>
              <w:rPr>
                <w:rFonts w:ascii="Times New Roman" w:hAnsi="Times New Roman" w:eastAsia="宋体"/>
                <w:color w:val="000000"/>
                <w:sz w:val="17"/>
              </w:rPr>
              <w:t>Table 1</w:t>
            </w:r>
          </w:p>
        </w:tc>
        <w:tc>
          <w:tcPr>
            <w:tcW w:w="3969" w:type="dxa"/>
            <w:tcMar>
              <w:top w:w="100" w:type="dxa"/>
              <w:left w:w="120" w:type="dxa"/>
              <w:bottom w:w="100" w:type="dxa"/>
              <w:right w:w="120" w:type="dxa"/>
            </w:tcMar>
            <w:vAlign w:val="center"/>
          </w:tcPr>
          <w:p w14:paraId="1582F2C8">
            <w:pPr>
              <w:spacing w:after="0" w:line="264" w:lineRule="auto"/>
              <w:jc w:val="left"/>
            </w:pPr>
            <w:r>
              <w:rPr>
                <w:rFonts w:ascii="Times New Roman" w:hAnsi="Times New Roman" w:eastAsia="宋体"/>
                <w:color w:val="000000"/>
                <w:sz w:val="17"/>
              </w:rPr>
              <w:t>数据集与类别分布</w:t>
            </w:r>
          </w:p>
        </w:tc>
        <w:tc>
          <w:tcPr>
            <w:tcW w:w="3005" w:type="dxa"/>
            <w:tcMar>
              <w:top w:w="100" w:type="dxa"/>
              <w:left w:w="120" w:type="dxa"/>
              <w:bottom w:w="100" w:type="dxa"/>
              <w:right w:w="120" w:type="dxa"/>
            </w:tcMar>
            <w:vAlign w:val="center"/>
          </w:tcPr>
          <w:p w14:paraId="2498E23A">
            <w:pPr>
              <w:spacing w:after="0" w:line="264" w:lineRule="auto"/>
              <w:jc w:val="left"/>
            </w:pPr>
            <w:r>
              <w:rPr>
                <w:rFonts w:ascii="Times New Roman" w:hAnsi="Times New Roman" w:eastAsia="宋体"/>
                <w:color w:val="000000"/>
                <w:sz w:val="17"/>
              </w:rPr>
              <w:t>同时报告飞机数和面数</w:t>
            </w:r>
          </w:p>
        </w:tc>
      </w:tr>
      <w:tr w14:paraId="36BDB71A">
        <w:trPr>
          <w:jc w:val="center"/>
        </w:trPr>
        <w:tc>
          <w:tcPr>
            <w:tcW w:w="1134" w:type="dxa"/>
            <w:shd w:val="clear" w:color="auto" w:fill="F3F7FA"/>
            <w:tcMar>
              <w:top w:w="100" w:type="dxa"/>
              <w:left w:w="120" w:type="dxa"/>
              <w:bottom w:w="100" w:type="dxa"/>
              <w:right w:w="120" w:type="dxa"/>
            </w:tcMar>
            <w:vAlign w:val="center"/>
          </w:tcPr>
          <w:p w14:paraId="3B6722EB">
            <w:pPr>
              <w:spacing w:after="0" w:line="264" w:lineRule="auto"/>
              <w:jc w:val="center"/>
            </w:pPr>
            <w:r>
              <w:rPr>
                <w:rFonts w:ascii="Times New Roman" w:hAnsi="Times New Roman" w:eastAsia="宋体"/>
                <w:color w:val="000000"/>
                <w:sz w:val="17"/>
              </w:rPr>
              <w:t>Table 2</w:t>
            </w:r>
          </w:p>
        </w:tc>
        <w:tc>
          <w:tcPr>
            <w:tcW w:w="3969" w:type="dxa"/>
            <w:shd w:val="clear" w:color="auto" w:fill="F3F7FA"/>
            <w:tcMar>
              <w:top w:w="100" w:type="dxa"/>
              <w:left w:w="120" w:type="dxa"/>
              <w:bottom w:w="100" w:type="dxa"/>
              <w:right w:w="120" w:type="dxa"/>
            </w:tcMar>
            <w:vAlign w:val="center"/>
          </w:tcPr>
          <w:p w14:paraId="38E1B6CC">
            <w:pPr>
              <w:spacing w:after="0" w:line="264" w:lineRule="auto"/>
              <w:jc w:val="left"/>
            </w:pPr>
            <w:r>
              <w:rPr>
                <w:rFonts w:ascii="Times New Roman" w:hAnsi="Times New Roman" w:eastAsia="宋体"/>
                <w:color w:val="000000"/>
                <w:sz w:val="17"/>
              </w:rPr>
              <w:t>节点和边特征类别</w:t>
            </w:r>
          </w:p>
        </w:tc>
        <w:tc>
          <w:tcPr>
            <w:tcW w:w="3005" w:type="dxa"/>
            <w:shd w:val="clear" w:color="auto" w:fill="F3F7FA"/>
            <w:tcMar>
              <w:top w:w="100" w:type="dxa"/>
              <w:left w:w="120" w:type="dxa"/>
              <w:bottom w:w="100" w:type="dxa"/>
              <w:right w:w="120" w:type="dxa"/>
            </w:tcMar>
            <w:vAlign w:val="center"/>
          </w:tcPr>
          <w:p w14:paraId="2ECA5BBC">
            <w:pPr>
              <w:spacing w:after="0" w:line="264" w:lineRule="auto"/>
              <w:jc w:val="left"/>
            </w:pPr>
            <w:r>
              <w:rPr>
                <w:rFonts w:ascii="Times New Roman" w:hAnsi="Times New Roman" w:eastAsia="宋体"/>
                <w:color w:val="000000"/>
                <w:sz w:val="17"/>
              </w:rPr>
              <w:t>48 维完整字段可放附录</w:t>
            </w:r>
          </w:p>
        </w:tc>
      </w:tr>
      <w:tr w14:paraId="4C4C38AE">
        <w:trPr>
          <w:jc w:val="center"/>
        </w:trPr>
        <w:tc>
          <w:tcPr>
            <w:tcW w:w="1134" w:type="dxa"/>
            <w:tcMar>
              <w:top w:w="100" w:type="dxa"/>
              <w:left w:w="120" w:type="dxa"/>
              <w:bottom w:w="100" w:type="dxa"/>
              <w:right w:w="120" w:type="dxa"/>
            </w:tcMar>
            <w:vAlign w:val="center"/>
          </w:tcPr>
          <w:p w14:paraId="12DBA0E6">
            <w:pPr>
              <w:spacing w:after="0" w:line="264" w:lineRule="auto"/>
              <w:jc w:val="center"/>
            </w:pPr>
            <w:r>
              <w:rPr>
                <w:rFonts w:ascii="Times New Roman" w:hAnsi="Times New Roman" w:eastAsia="宋体"/>
                <w:color w:val="000000"/>
                <w:sz w:val="17"/>
              </w:rPr>
              <w:t>Table 3</w:t>
            </w:r>
          </w:p>
        </w:tc>
        <w:tc>
          <w:tcPr>
            <w:tcW w:w="3969" w:type="dxa"/>
            <w:tcMar>
              <w:top w:w="100" w:type="dxa"/>
              <w:left w:w="120" w:type="dxa"/>
              <w:bottom w:w="100" w:type="dxa"/>
              <w:right w:w="120" w:type="dxa"/>
            </w:tcMar>
            <w:vAlign w:val="center"/>
          </w:tcPr>
          <w:p w14:paraId="02038D36">
            <w:pPr>
              <w:spacing w:after="0" w:line="264" w:lineRule="auto"/>
              <w:jc w:val="left"/>
            </w:pPr>
            <w:r>
              <w:rPr>
                <w:rFonts w:ascii="Times New Roman" w:hAnsi="Times New Roman" w:eastAsia="宋体"/>
                <w:color w:val="000000"/>
                <w:sz w:val="17"/>
              </w:rPr>
              <w:t>训练和推理参数</w:t>
            </w:r>
          </w:p>
        </w:tc>
        <w:tc>
          <w:tcPr>
            <w:tcW w:w="3005" w:type="dxa"/>
            <w:tcMar>
              <w:top w:w="100" w:type="dxa"/>
              <w:left w:w="120" w:type="dxa"/>
              <w:bottom w:w="100" w:type="dxa"/>
              <w:right w:w="120" w:type="dxa"/>
            </w:tcMar>
            <w:vAlign w:val="center"/>
          </w:tcPr>
          <w:p w14:paraId="2982CF5E">
            <w:pPr>
              <w:spacing w:after="0" w:line="264" w:lineRule="auto"/>
              <w:jc w:val="left"/>
            </w:pPr>
            <w:r>
              <w:rPr>
                <w:rFonts w:ascii="Times New Roman" w:hAnsi="Times New Roman" w:eastAsia="宋体"/>
                <w:color w:val="000000"/>
                <w:sz w:val="17"/>
              </w:rPr>
              <w:t>以 checkpoint 与 stats 为准</w:t>
            </w:r>
          </w:p>
        </w:tc>
      </w:tr>
      <w:tr w14:paraId="0362C709">
        <w:trPr>
          <w:jc w:val="center"/>
        </w:trPr>
        <w:tc>
          <w:tcPr>
            <w:tcW w:w="1134" w:type="dxa"/>
            <w:shd w:val="clear" w:color="auto" w:fill="F3F7FA"/>
            <w:tcMar>
              <w:top w:w="100" w:type="dxa"/>
              <w:left w:w="120" w:type="dxa"/>
              <w:bottom w:w="100" w:type="dxa"/>
              <w:right w:w="120" w:type="dxa"/>
            </w:tcMar>
            <w:vAlign w:val="center"/>
          </w:tcPr>
          <w:p w14:paraId="68B9CC35">
            <w:pPr>
              <w:spacing w:after="0" w:line="264" w:lineRule="auto"/>
              <w:jc w:val="center"/>
            </w:pPr>
            <w:r>
              <w:rPr>
                <w:rFonts w:ascii="Times New Roman" w:hAnsi="Times New Roman" w:eastAsia="宋体"/>
                <w:color w:val="000000"/>
                <w:sz w:val="17"/>
              </w:rPr>
              <w:t>Table 4</w:t>
            </w:r>
          </w:p>
        </w:tc>
        <w:tc>
          <w:tcPr>
            <w:tcW w:w="3969" w:type="dxa"/>
            <w:shd w:val="clear" w:color="auto" w:fill="F3F7FA"/>
            <w:tcMar>
              <w:top w:w="100" w:type="dxa"/>
              <w:left w:w="120" w:type="dxa"/>
              <w:bottom w:w="100" w:type="dxa"/>
              <w:right w:w="120" w:type="dxa"/>
            </w:tcMar>
            <w:vAlign w:val="center"/>
          </w:tcPr>
          <w:p w14:paraId="199E1901">
            <w:pPr>
              <w:spacing w:after="0" w:line="264" w:lineRule="auto"/>
              <w:jc w:val="left"/>
            </w:pPr>
            <w:r>
              <w:rPr>
                <w:rFonts w:ascii="Times New Roman" w:hAnsi="Times New Roman" w:eastAsia="宋体"/>
                <w:color w:val="000000"/>
                <w:sz w:val="17"/>
              </w:rPr>
              <w:t>总体分类结果</w:t>
            </w:r>
          </w:p>
        </w:tc>
        <w:tc>
          <w:tcPr>
            <w:tcW w:w="3005" w:type="dxa"/>
            <w:shd w:val="clear" w:color="auto" w:fill="F3F7FA"/>
            <w:tcMar>
              <w:top w:w="100" w:type="dxa"/>
              <w:left w:w="120" w:type="dxa"/>
              <w:bottom w:w="100" w:type="dxa"/>
              <w:right w:w="120" w:type="dxa"/>
            </w:tcMar>
            <w:vAlign w:val="center"/>
          </w:tcPr>
          <w:p w14:paraId="24385812">
            <w:pPr>
              <w:spacing w:after="0" w:line="264" w:lineRule="auto"/>
              <w:jc w:val="left"/>
            </w:pPr>
            <w:r>
              <w:rPr>
                <w:rFonts w:ascii="Times New Roman" w:hAnsi="Times New Roman" w:eastAsia="宋体"/>
                <w:color w:val="000000"/>
                <w:sz w:val="17"/>
              </w:rPr>
              <w:t>不能只报告 accuracy</w:t>
            </w:r>
          </w:p>
        </w:tc>
      </w:tr>
      <w:tr w14:paraId="1100F115">
        <w:trPr>
          <w:jc w:val="center"/>
        </w:trPr>
        <w:tc>
          <w:tcPr>
            <w:tcW w:w="1134" w:type="dxa"/>
            <w:tcMar>
              <w:top w:w="100" w:type="dxa"/>
              <w:left w:w="120" w:type="dxa"/>
              <w:bottom w:w="100" w:type="dxa"/>
              <w:right w:w="120" w:type="dxa"/>
            </w:tcMar>
            <w:vAlign w:val="center"/>
          </w:tcPr>
          <w:p w14:paraId="280DD7F2">
            <w:pPr>
              <w:spacing w:after="0" w:line="264" w:lineRule="auto"/>
              <w:jc w:val="center"/>
            </w:pPr>
            <w:r>
              <w:rPr>
                <w:rFonts w:ascii="Times New Roman" w:hAnsi="Times New Roman" w:eastAsia="宋体"/>
                <w:color w:val="000000"/>
                <w:sz w:val="17"/>
              </w:rPr>
              <w:t>Table 5</w:t>
            </w:r>
          </w:p>
        </w:tc>
        <w:tc>
          <w:tcPr>
            <w:tcW w:w="3969" w:type="dxa"/>
            <w:tcMar>
              <w:top w:w="100" w:type="dxa"/>
              <w:left w:w="120" w:type="dxa"/>
              <w:bottom w:w="100" w:type="dxa"/>
              <w:right w:w="120" w:type="dxa"/>
            </w:tcMar>
            <w:vAlign w:val="center"/>
          </w:tcPr>
          <w:p w14:paraId="1E89A036">
            <w:pPr>
              <w:spacing w:after="0" w:line="264" w:lineRule="auto"/>
              <w:jc w:val="left"/>
            </w:pPr>
            <w:r>
              <w:rPr>
                <w:rFonts w:ascii="Times New Roman" w:hAnsi="Times New Roman" w:eastAsia="宋体"/>
                <w:color w:val="000000"/>
                <w:sz w:val="17"/>
              </w:rPr>
              <w:t>逐飞机测试结果</w:t>
            </w:r>
          </w:p>
        </w:tc>
        <w:tc>
          <w:tcPr>
            <w:tcW w:w="3005" w:type="dxa"/>
            <w:tcMar>
              <w:top w:w="100" w:type="dxa"/>
              <w:left w:w="120" w:type="dxa"/>
              <w:bottom w:w="100" w:type="dxa"/>
              <w:right w:w="120" w:type="dxa"/>
            </w:tcMar>
            <w:vAlign w:val="center"/>
          </w:tcPr>
          <w:p w14:paraId="277DA3B6">
            <w:pPr>
              <w:spacing w:after="0" w:line="264" w:lineRule="auto"/>
              <w:jc w:val="left"/>
            </w:pPr>
            <w:r>
              <w:rPr>
                <w:rFonts w:ascii="Times New Roman" w:hAnsi="Times New Roman" w:eastAsia="宋体"/>
                <w:color w:val="000000"/>
                <w:sz w:val="17"/>
              </w:rPr>
              <w:t>突出背景误报和类别不均衡</w:t>
            </w:r>
          </w:p>
        </w:tc>
      </w:tr>
      <w:tr w14:paraId="03A99D17">
        <w:trPr>
          <w:jc w:val="center"/>
        </w:trPr>
        <w:tc>
          <w:tcPr>
            <w:tcW w:w="1134" w:type="dxa"/>
            <w:shd w:val="clear" w:color="auto" w:fill="F3F7FA"/>
            <w:tcMar>
              <w:top w:w="100" w:type="dxa"/>
              <w:left w:w="120" w:type="dxa"/>
              <w:bottom w:w="100" w:type="dxa"/>
              <w:right w:w="120" w:type="dxa"/>
            </w:tcMar>
            <w:vAlign w:val="center"/>
          </w:tcPr>
          <w:p w14:paraId="72992BD3">
            <w:pPr>
              <w:spacing w:after="0" w:line="264" w:lineRule="auto"/>
              <w:jc w:val="center"/>
            </w:pPr>
            <w:r>
              <w:rPr>
                <w:rFonts w:ascii="Times New Roman" w:hAnsi="Times New Roman" w:eastAsia="宋体"/>
                <w:color w:val="000000"/>
                <w:sz w:val="17"/>
              </w:rPr>
              <w:t>Table 6</w:t>
            </w:r>
          </w:p>
        </w:tc>
        <w:tc>
          <w:tcPr>
            <w:tcW w:w="3969" w:type="dxa"/>
            <w:shd w:val="clear" w:color="auto" w:fill="F3F7FA"/>
            <w:tcMar>
              <w:top w:w="100" w:type="dxa"/>
              <w:left w:w="120" w:type="dxa"/>
              <w:bottom w:w="100" w:type="dxa"/>
              <w:right w:w="120" w:type="dxa"/>
            </w:tcMar>
            <w:vAlign w:val="center"/>
          </w:tcPr>
          <w:p w14:paraId="72B38388">
            <w:pPr>
              <w:spacing w:after="0" w:line="264" w:lineRule="auto"/>
              <w:jc w:val="left"/>
            </w:pPr>
            <w:r>
              <w:rPr>
                <w:rFonts w:ascii="Times New Roman" w:hAnsi="Times New Roman" w:eastAsia="宋体"/>
                <w:color w:val="000000"/>
                <w:sz w:val="17"/>
              </w:rPr>
              <w:t>双专家结构消融</w:t>
            </w:r>
          </w:p>
        </w:tc>
        <w:tc>
          <w:tcPr>
            <w:tcW w:w="3005" w:type="dxa"/>
            <w:shd w:val="clear" w:color="auto" w:fill="F3F7FA"/>
            <w:tcMar>
              <w:top w:w="100" w:type="dxa"/>
              <w:left w:w="120" w:type="dxa"/>
              <w:bottom w:w="100" w:type="dxa"/>
              <w:right w:w="120" w:type="dxa"/>
            </w:tcMar>
            <w:vAlign w:val="center"/>
          </w:tcPr>
          <w:p w14:paraId="537EEA28">
            <w:pPr>
              <w:spacing w:after="0" w:line="264" w:lineRule="auto"/>
              <w:jc w:val="left"/>
            </w:pPr>
            <w:r>
              <w:rPr>
                <w:rFonts w:ascii="Times New Roman" w:hAnsi="Times New Roman" w:eastAsia="宋体"/>
                <w:color w:val="000000"/>
                <w:sz w:val="17"/>
              </w:rPr>
              <w:t>保持数据和训练预算一致</w:t>
            </w:r>
          </w:p>
        </w:tc>
      </w:tr>
      <w:tr w14:paraId="0E9C6652">
        <w:trPr>
          <w:jc w:val="center"/>
        </w:trPr>
        <w:tc>
          <w:tcPr>
            <w:tcW w:w="1134" w:type="dxa"/>
            <w:tcMar>
              <w:top w:w="100" w:type="dxa"/>
              <w:left w:w="120" w:type="dxa"/>
              <w:bottom w:w="100" w:type="dxa"/>
              <w:right w:w="120" w:type="dxa"/>
            </w:tcMar>
            <w:vAlign w:val="center"/>
          </w:tcPr>
          <w:p w14:paraId="7416FFB8">
            <w:pPr>
              <w:spacing w:after="0" w:line="264" w:lineRule="auto"/>
              <w:jc w:val="center"/>
            </w:pPr>
            <w:r>
              <w:rPr>
                <w:rFonts w:ascii="Times New Roman" w:hAnsi="Times New Roman" w:eastAsia="宋体"/>
                <w:color w:val="000000"/>
                <w:sz w:val="17"/>
              </w:rPr>
              <w:t>Table 7</w:t>
            </w:r>
          </w:p>
        </w:tc>
        <w:tc>
          <w:tcPr>
            <w:tcW w:w="3969" w:type="dxa"/>
            <w:tcMar>
              <w:top w:w="100" w:type="dxa"/>
              <w:left w:w="120" w:type="dxa"/>
              <w:bottom w:w="100" w:type="dxa"/>
              <w:right w:w="120" w:type="dxa"/>
            </w:tcMar>
            <w:vAlign w:val="center"/>
          </w:tcPr>
          <w:p w14:paraId="47E29F01">
            <w:pPr>
              <w:spacing w:after="0" w:line="264" w:lineRule="auto"/>
              <w:jc w:val="left"/>
            </w:pPr>
            <w:r>
              <w:rPr>
                <w:rFonts w:ascii="Times New Roman" w:hAnsi="Times New Roman" w:eastAsia="宋体"/>
                <w:color w:val="000000"/>
                <w:sz w:val="17"/>
              </w:rPr>
              <w:t>组件级校核消融</w:t>
            </w:r>
          </w:p>
        </w:tc>
        <w:tc>
          <w:tcPr>
            <w:tcW w:w="3005" w:type="dxa"/>
            <w:tcMar>
              <w:top w:w="100" w:type="dxa"/>
              <w:left w:w="120" w:type="dxa"/>
              <w:bottom w:w="100" w:type="dxa"/>
              <w:right w:w="120" w:type="dxa"/>
            </w:tcMar>
            <w:vAlign w:val="center"/>
          </w:tcPr>
          <w:p w14:paraId="5B999F92">
            <w:pPr>
              <w:spacing w:after="0" w:line="264" w:lineRule="auto"/>
              <w:jc w:val="left"/>
            </w:pPr>
            <w:r>
              <w:rPr>
                <w:rFonts w:ascii="Times New Roman" w:hAnsi="Times New Roman" w:eastAsia="宋体"/>
                <w:color w:val="000000"/>
                <w:sz w:val="17"/>
              </w:rPr>
              <w:t>同时报告过滤 TP 数</w:t>
            </w:r>
          </w:p>
        </w:tc>
      </w:tr>
      <w:tr w14:paraId="4AC3904D">
        <w:trPr>
          <w:jc w:val="center"/>
        </w:trPr>
        <w:tc>
          <w:tcPr>
            <w:tcW w:w="1134" w:type="dxa"/>
            <w:shd w:val="clear" w:color="auto" w:fill="F3F7FA"/>
            <w:tcMar>
              <w:top w:w="100" w:type="dxa"/>
              <w:left w:w="120" w:type="dxa"/>
              <w:bottom w:w="100" w:type="dxa"/>
              <w:right w:w="120" w:type="dxa"/>
            </w:tcMar>
            <w:vAlign w:val="center"/>
          </w:tcPr>
          <w:p w14:paraId="083BC045">
            <w:pPr>
              <w:spacing w:after="0" w:line="264" w:lineRule="auto"/>
              <w:jc w:val="center"/>
            </w:pPr>
            <w:r>
              <w:rPr>
                <w:rFonts w:ascii="Times New Roman" w:hAnsi="Times New Roman" w:eastAsia="宋体"/>
                <w:color w:val="000000"/>
                <w:sz w:val="17"/>
              </w:rPr>
              <w:t>Table 8</w:t>
            </w:r>
          </w:p>
        </w:tc>
        <w:tc>
          <w:tcPr>
            <w:tcW w:w="3969" w:type="dxa"/>
            <w:shd w:val="clear" w:color="auto" w:fill="F3F7FA"/>
            <w:tcMar>
              <w:top w:w="100" w:type="dxa"/>
              <w:left w:w="120" w:type="dxa"/>
              <w:bottom w:w="100" w:type="dxa"/>
              <w:right w:w="120" w:type="dxa"/>
            </w:tcMar>
            <w:vAlign w:val="center"/>
          </w:tcPr>
          <w:p w14:paraId="6969653E">
            <w:pPr>
              <w:spacing w:after="0" w:line="264" w:lineRule="auto"/>
              <w:jc w:val="left"/>
            </w:pPr>
            <w:r>
              <w:rPr>
                <w:rFonts w:ascii="Times New Roman" w:hAnsi="Times New Roman" w:eastAsia="宋体"/>
                <w:color w:val="000000"/>
                <w:sz w:val="17"/>
              </w:rPr>
              <w:t>48 维与 51 维负向消融</w:t>
            </w:r>
          </w:p>
        </w:tc>
        <w:tc>
          <w:tcPr>
            <w:tcW w:w="3005" w:type="dxa"/>
            <w:shd w:val="clear" w:color="auto" w:fill="F3F7FA"/>
            <w:tcMar>
              <w:top w:w="100" w:type="dxa"/>
              <w:left w:w="120" w:type="dxa"/>
              <w:bottom w:w="100" w:type="dxa"/>
              <w:right w:w="120" w:type="dxa"/>
            </w:tcMar>
            <w:vAlign w:val="center"/>
          </w:tcPr>
          <w:p w14:paraId="5928E725">
            <w:pPr>
              <w:spacing w:after="0" w:line="264" w:lineRule="auto"/>
              <w:jc w:val="left"/>
            </w:pPr>
            <w:r>
              <w:rPr>
                <w:rFonts w:ascii="Times New Roman" w:hAnsi="Times New Roman" w:eastAsia="宋体"/>
                <w:color w:val="000000"/>
                <w:sz w:val="17"/>
              </w:rPr>
              <w:t>使用多随机种子复验</w:t>
            </w:r>
          </w:p>
        </w:tc>
      </w:tr>
    </w:tbl>
    <w:p w14:paraId="06D9AF1B">
      <w:pPr>
        <w:widowControl/>
        <w:spacing w:after="0"/>
      </w:pPr>
      <w:r/>
    </w:p>
    <w:p w14:paraId="0906B278">
      <w:pPr>
        <w:pStyle w:val="3"/>
        <w:keepNext/>
        <w:widowControl/>
        <w:spacing w:before="200" w:after="80"/>
      </w:pPr>
      <w:r>
        <w:t>六 审稿风险与应对</w:t>
      </w:r>
    </w:p>
    <w:tbl>
      <w:tblPr>
        <w:tblStyle w:val="33"/>
        <w:tblW w:w="0" w:type="auto"/>
        <w:jc w:val="center"/>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Layout w:type="fixed"/>
        <w:tblCellMar>
          <w:top w:w="0" w:type="dxa"/>
          <w:left w:w="108" w:type="dxa"/>
          <w:bottom w:w="0" w:type="dxa"/>
          <w:right w:w="108" w:type="dxa"/>
        </w:tblCellMar>
      </w:tblPr>
      <w:tblGrid>
        <w:gridCol w:w="4703"/>
        <w:gridCol w:w="4703"/>
      </w:tblGrid>
      <w:tr w14:paraId="1DFE1169">
        <w:trPr>
          <w:tblHeader/>
          <w:jc w:val="center"/>
        </w:trPr>
        <w:tc>
          <w:tcPr>
            <w:tcW w:w="2438" w:type="dxa"/>
            <w:shd w:val="clear" w:color="auto" w:fill="1F4E78"/>
            <w:tcMar>
              <w:top w:w="100" w:type="dxa"/>
              <w:left w:w="120" w:type="dxa"/>
              <w:bottom w:w="100" w:type="dxa"/>
              <w:right w:w="120" w:type="dxa"/>
            </w:tcMar>
            <w:vAlign w:val="center"/>
          </w:tcPr>
          <w:p w14:paraId="1012AF5B">
            <w:pPr>
              <w:jc w:val="center"/>
            </w:pPr>
            <w:r>
              <w:rPr>
                <w:rFonts w:ascii="Times New Roman" w:hAnsi="Times New Roman" w:eastAsia="微软雅黑"/>
                <w:b/>
                <w:color w:val="FFFFFF"/>
                <w:sz w:val="17"/>
              </w:rPr>
              <w:t>可能质疑</w:t>
            </w:r>
          </w:p>
        </w:tc>
        <w:tc>
          <w:tcPr>
            <w:tcW w:w="5670" w:type="dxa"/>
            <w:shd w:val="clear" w:color="auto" w:fill="1F4E78"/>
            <w:tcMar>
              <w:top w:w="100" w:type="dxa"/>
              <w:left w:w="120" w:type="dxa"/>
              <w:bottom w:w="100" w:type="dxa"/>
              <w:right w:w="120" w:type="dxa"/>
            </w:tcMar>
            <w:vAlign w:val="center"/>
          </w:tcPr>
          <w:p w14:paraId="61760D90">
            <w:pPr>
              <w:jc w:val="center"/>
            </w:pPr>
            <w:r>
              <w:rPr>
                <w:rFonts w:ascii="Times New Roman" w:hAnsi="Times New Roman" w:eastAsia="微软雅黑"/>
                <w:b/>
                <w:color w:val="FFFFFF"/>
                <w:sz w:val="17"/>
              </w:rPr>
              <w:t>建议应对</w:t>
            </w:r>
          </w:p>
        </w:tc>
      </w:tr>
      <w:tr w14:paraId="53CDA476">
        <w:trPr>
          <w:jc w:val="center"/>
        </w:trPr>
        <w:tc>
          <w:tcPr>
            <w:tcW w:w="2438" w:type="dxa"/>
            <w:tcMar>
              <w:top w:w="100" w:type="dxa"/>
              <w:left w:w="120" w:type="dxa"/>
              <w:bottom w:w="100" w:type="dxa"/>
              <w:right w:w="120" w:type="dxa"/>
            </w:tcMar>
            <w:vAlign w:val="center"/>
          </w:tcPr>
          <w:p w14:paraId="7C6CBB25">
            <w:pPr>
              <w:spacing w:after="0" w:line="264" w:lineRule="auto"/>
              <w:jc w:val="center"/>
            </w:pPr>
            <w:r>
              <w:rPr>
                <w:rFonts w:ascii="Times New Roman" w:hAnsi="Times New Roman" w:eastAsia="宋体"/>
                <w:color w:val="000000"/>
                <w:sz w:val="17"/>
              </w:rPr>
              <w:t>为什么小特征模型会误报大型面</w:t>
            </w:r>
          </w:p>
        </w:tc>
        <w:tc>
          <w:tcPr>
            <w:tcW w:w="5670" w:type="dxa"/>
            <w:tcMar>
              <w:top w:w="100" w:type="dxa"/>
              <w:left w:w="120" w:type="dxa"/>
              <w:bottom w:w="100" w:type="dxa"/>
              <w:right w:w="120" w:type="dxa"/>
            </w:tcMar>
            <w:vAlign w:val="center"/>
          </w:tcPr>
          <w:p w14:paraId="6517D166">
            <w:pPr>
              <w:spacing w:after="0" w:line="264" w:lineRule="auto"/>
              <w:jc w:val="left"/>
            </w:pPr>
            <w:r>
              <w:rPr>
                <w:rFonts w:ascii="Times New Roman" w:hAnsi="Times New Roman" w:eastAsia="宋体"/>
                <w:color w:val="000000"/>
                <w:sz w:val="17"/>
              </w:rPr>
              <w:t>承认其为跨模型面级误报，并说明局部面属性与全局结构角色不同；用逐面积分桶和组件分析量化，而不是用措辞回避。</w:t>
            </w:r>
          </w:p>
        </w:tc>
      </w:tr>
      <w:tr w14:paraId="0C01804B">
        <w:trPr>
          <w:jc w:val="center"/>
        </w:trPr>
        <w:tc>
          <w:tcPr>
            <w:tcW w:w="2438" w:type="dxa"/>
            <w:shd w:val="clear" w:color="auto" w:fill="F3F7FA"/>
            <w:tcMar>
              <w:top w:w="100" w:type="dxa"/>
              <w:left w:w="120" w:type="dxa"/>
              <w:bottom w:w="100" w:type="dxa"/>
              <w:right w:w="120" w:type="dxa"/>
            </w:tcMar>
            <w:vAlign w:val="center"/>
          </w:tcPr>
          <w:p w14:paraId="7A08C427">
            <w:pPr>
              <w:spacing w:after="0" w:line="264" w:lineRule="auto"/>
              <w:jc w:val="center"/>
            </w:pPr>
            <w:r>
              <w:rPr>
                <w:rFonts w:ascii="Times New Roman" w:hAnsi="Times New Roman" w:eastAsia="宋体"/>
                <w:color w:val="000000"/>
                <w:sz w:val="17"/>
              </w:rPr>
              <w:t>拓扑校核是否只是手工补丁</w:t>
            </w:r>
          </w:p>
        </w:tc>
        <w:tc>
          <w:tcPr>
            <w:tcW w:w="5670" w:type="dxa"/>
            <w:shd w:val="clear" w:color="auto" w:fill="F3F7FA"/>
            <w:tcMar>
              <w:top w:w="100" w:type="dxa"/>
              <w:left w:w="120" w:type="dxa"/>
              <w:bottom w:w="100" w:type="dxa"/>
              <w:right w:w="120" w:type="dxa"/>
            </w:tcMar>
            <w:vAlign w:val="center"/>
          </w:tcPr>
          <w:p w14:paraId="00664710">
            <w:pPr>
              <w:spacing w:after="0" w:line="264" w:lineRule="auto"/>
              <w:jc w:val="left"/>
            </w:pPr>
            <w:r>
              <w:rPr>
                <w:rFonts w:ascii="Times New Roman" w:hAnsi="Times New Roman" w:eastAsia="宋体"/>
                <w:color w:val="000000"/>
                <w:sz w:val="17"/>
              </w:rPr>
              <w:t>分开报告 raw GNN 和 refined prediction；固定参数；与面积阈值对比；报告被错误过滤的真实特征。</w:t>
            </w:r>
          </w:p>
        </w:tc>
      </w:tr>
      <w:tr w14:paraId="61502DAA">
        <w:trPr>
          <w:jc w:val="center"/>
        </w:trPr>
        <w:tc>
          <w:tcPr>
            <w:tcW w:w="2438" w:type="dxa"/>
            <w:tcMar>
              <w:top w:w="100" w:type="dxa"/>
              <w:left w:w="120" w:type="dxa"/>
              <w:bottom w:w="100" w:type="dxa"/>
              <w:right w:w="120" w:type="dxa"/>
            </w:tcMar>
            <w:vAlign w:val="center"/>
          </w:tcPr>
          <w:p w14:paraId="47601638">
            <w:pPr>
              <w:spacing w:after="0" w:line="264" w:lineRule="auto"/>
              <w:jc w:val="center"/>
            </w:pPr>
            <w:r>
              <w:rPr>
                <w:rFonts w:ascii="Times New Roman" w:hAnsi="Times New Roman" w:eastAsia="宋体"/>
                <w:color w:val="000000"/>
                <w:sz w:val="17"/>
              </w:rPr>
              <w:t>数据量是否足够</w:t>
            </w:r>
          </w:p>
        </w:tc>
        <w:tc>
          <w:tcPr>
            <w:tcW w:w="5670" w:type="dxa"/>
            <w:tcMar>
              <w:top w:w="100" w:type="dxa"/>
              <w:left w:w="120" w:type="dxa"/>
              <w:bottom w:w="100" w:type="dxa"/>
              <w:right w:w="120" w:type="dxa"/>
            </w:tcMar>
            <w:vAlign w:val="center"/>
          </w:tcPr>
          <w:p w14:paraId="478D47AF">
            <w:pPr>
              <w:spacing w:after="0" w:line="264" w:lineRule="auto"/>
              <w:jc w:val="left"/>
            </w:pPr>
            <w:r>
              <w:rPr>
                <w:rFonts w:ascii="Times New Roman" w:hAnsi="Times New Roman" w:eastAsia="宋体"/>
                <w:color w:val="000000"/>
                <w:sz w:val="17"/>
              </w:rPr>
              <w:t>强调完整飞机级测试和当前适用范围，同时补充新飞机或模型级交叉验证，不宣称普遍工业泛化。</w:t>
            </w:r>
          </w:p>
        </w:tc>
      </w:tr>
      <w:tr w14:paraId="213E57DD">
        <w:trPr>
          <w:jc w:val="center"/>
        </w:trPr>
        <w:tc>
          <w:tcPr>
            <w:tcW w:w="2438" w:type="dxa"/>
            <w:shd w:val="clear" w:color="auto" w:fill="F3F7FA"/>
            <w:tcMar>
              <w:top w:w="100" w:type="dxa"/>
              <w:left w:w="120" w:type="dxa"/>
              <w:bottom w:w="100" w:type="dxa"/>
              <w:right w:w="120" w:type="dxa"/>
            </w:tcMar>
            <w:vAlign w:val="center"/>
          </w:tcPr>
          <w:p w14:paraId="103BC911">
            <w:pPr>
              <w:spacing w:after="0" w:line="264" w:lineRule="auto"/>
              <w:jc w:val="center"/>
            </w:pPr>
            <w:r>
              <w:rPr>
                <w:rFonts w:ascii="Times New Roman" w:hAnsi="Times New Roman" w:eastAsia="宋体"/>
                <w:color w:val="000000"/>
                <w:sz w:val="17"/>
              </w:rPr>
              <w:t>测试集是否参与选型</w:t>
            </w:r>
          </w:p>
        </w:tc>
        <w:tc>
          <w:tcPr>
            <w:tcW w:w="5670" w:type="dxa"/>
            <w:shd w:val="clear" w:color="auto" w:fill="F3F7FA"/>
            <w:tcMar>
              <w:top w:w="100" w:type="dxa"/>
              <w:left w:w="120" w:type="dxa"/>
              <w:bottom w:w="100" w:type="dxa"/>
              <w:right w:w="120" w:type="dxa"/>
            </w:tcMar>
            <w:vAlign w:val="center"/>
          </w:tcPr>
          <w:p w14:paraId="753C3689">
            <w:pPr>
              <w:spacing w:after="0" w:line="264" w:lineRule="auto"/>
              <w:jc w:val="left"/>
            </w:pPr>
            <w:r>
              <w:rPr>
                <w:rFonts w:ascii="Times New Roman" w:hAnsi="Times New Roman" w:eastAsia="宋体"/>
                <w:color w:val="000000"/>
                <w:sz w:val="17"/>
              </w:rPr>
              <w:t>如实披露历史使用情况，最好新增完全冻结的外部整机测试集。</w:t>
            </w:r>
          </w:p>
        </w:tc>
      </w:tr>
      <w:tr w14:paraId="45065441">
        <w:trPr>
          <w:jc w:val="center"/>
        </w:trPr>
        <w:tc>
          <w:tcPr>
            <w:tcW w:w="2438" w:type="dxa"/>
            <w:tcMar>
              <w:top w:w="100" w:type="dxa"/>
              <w:left w:w="120" w:type="dxa"/>
              <w:bottom w:w="100" w:type="dxa"/>
              <w:right w:w="120" w:type="dxa"/>
            </w:tcMar>
            <w:vAlign w:val="center"/>
          </w:tcPr>
          <w:p w14:paraId="3E315637">
            <w:pPr>
              <w:spacing w:after="0" w:line="264" w:lineRule="auto"/>
              <w:jc w:val="center"/>
            </w:pPr>
            <w:r>
              <w:rPr>
                <w:rFonts w:ascii="Times New Roman" w:hAnsi="Times New Roman" w:eastAsia="宋体"/>
                <w:color w:val="000000"/>
                <w:sz w:val="17"/>
              </w:rPr>
              <w:t>准确率是否被背景类主导</w:t>
            </w:r>
          </w:p>
        </w:tc>
        <w:tc>
          <w:tcPr>
            <w:tcW w:w="5670" w:type="dxa"/>
            <w:tcMar>
              <w:top w:w="100" w:type="dxa"/>
              <w:left w:w="120" w:type="dxa"/>
              <w:bottom w:w="100" w:type="dxa"/>
              <w:right w:w="120" w:type="dxa"/>
            </w:tcMar>
            <w:vAlign w:val="center"/>
          </w:tcPr>
          <w:p w14:paraId="4A9A0AE1">
            <w:pPr>
              <w:spacing w:after="0" w:line="264" w:lineRule="auto"/>
              <w:jc w:val="left"/>
            </w:pPr>
            <w:r>
              <w:rPr>
                <w:rFonts w:ascii="Times New Roman" w:hAnsi="Times New Roman" w:eastAsia="宋体"/>
                <w:color w:val="000000"/>
                <w:sz w:val="17"/>
              </w:rPr>
              <w:t>报告 macro-F1、mIoU、每类 P R F1、逐飞机混淆和最大误报面积。</w:t>
            </w:r>
          </w:p>
        </w:tc>
      </w:tr>
      <w:tr w14:paraId="3FA6FEBC">
        <w:trPr>
          <w:jc w:val="center"/>
        </w:trPr>
        <w:tc>
          <w:tcPr>
            <w:tcW w:w="2438" w:type="dxa"/>
            <w:shd w:val="clear" w:color="auto" w:fill="F3F7FA"/>
            <w:tcMar>
              <w:top w:w="100" w:type="dxa"/>
              <w:left w:w="120" w:type="dxa"/>
              <w:bottom w:w="100" w:type="dxa"/>
              <w:right w:w="120" w:type="dxa"/>
            </w:tcMar>
            <w:vAlign w:val="center"/>
          </w:tcPr>
          <w:p w14:paraId="19FE5826">
            <w:pPr>
              <w:spacing w:after="0" w:line="264" w:lineRule="auto"/>
              <w:jc w:val="center"/>
            </w:pPr>
            <w:r>
              <w:rPr>
                <w:rFonts w:ascii="Times New Roman" w:hAnsi="Times New Roman" w:eastAsia="宋体"/>
                <w:color w:val="000000"/>
                <w:sz w:val="17"/>
              </w:rPr>
              <w:t>是否真正改善 CAE</w:t>
            </w:r>
          </w:p>
        </w:tc>
        <w:tc>
          <w:tcPr>
            <w:tcW w:w="5670" w:type="dxa"/>
            <w:shd w:val="clear" w:color="auto" w:fill="F3F7FA"/>
            <w:tcMar>
              <w:top w:w="100" w:type="dxa"/>
              <w:left w:w="120" w:type="dxa"/>
              <w:bottom w:w="100" w:type="dxa"/>
              <w:right w:w="120" w:type="dxa"/>
            </w:tcMar>
            <w:vAlign w:val="center"/>
          </w:tcPr>
          <w:p w14:paraId="6D5CE761">
            <w:pPr>
              <w:spacing w:after="0" w:line="264" w:lineRule="auto"/>
              <w:jc w:val="left"/>
            </w:pPr>
            <w:r>
              <w:rPr>
                <w:rFonts w:ascii="Times New Roman" w:hAnsi="Times New Roman" w:eastAsia="宋体"/>
                <w:color w:val="000000"/>
                <w:sz w:val="17"/>
              </w:rPr>
              <w:t>当前只声称提供简化候选；未来通过删除有效率、网格规模、计算时间和物理量误差建立闭环。</w:t>
            </w:r>
          </w:p>
        </w:tc>
      </w:tr>
    </w:tbl>
    <w:p w14:paraId="24B53859">
      <w:pPr>
        <w:widowControl/>
        <w:spacing w:after="0"/>
      </w:pPr>
      <w:r/>
    </w:p>
    <w:p w14:paraId="07F13BF2">
      <w:pPr>
        <w:pStyle w:val="3"/>
        <w:keepNext/>
        <w:widowControl/>
        <w:spacing w:before="200" w:after="80"/>
      </w:pPr>
      <w:r>
        <w:t>七 写作前需要补齐的证据</w:t>
      </w:r>
    </w:p>
    <w:p w14:paraId="2989E009">
      <w:pPr>
        <w:widowControl/>
        <w:spacing w:after="40" w:line="300" w:lineRule="auto"/>
        <w:ind w:left="425" w:hanging="198"/>
      </w:pPr>
      <w:r>
        <w:t>1. 从最终模型及其配套 stats 重新导出主结果，统一所有指标口径。</w:t>
      </w:r>
    </w:p>
    <w:p w14:paraId="4EF27497">
      <w:pPr>
        <w:widowControl/>
        <w:spacing w:after="40" w:line="300" w:lineRule="auto"/>
        <w:ind w:left="425" w:hanging="198"/>
      </w:pPr>
      <w:r>
        <w:t>2. 保存训练命令、随机种子、软件版本、特征字段顺序和数据集模型名单。</w:t>
      </w:r>
    </w:p>
    <w:p w14:paraId="6CDD48C7">
      <w:pPr>
        <w:widowControl/>
        <w:spacing w:after="40" w:line="300" w:lineRule="auto"/>
        <w:ind w:left="425" w:hanging="198"/>
      </w:pPr>
      <w:r>
        <w:t>3. 至少完成统一三分类与双专家模型的公平对比。</w:t>
      </w:r>
    </w:p>
    <w:p w14:paraId="2F72FD82">
      <w:pPr>
        <w:widowControl/>
        <w:spacing w:after="40" w:line="300" w:lineRule="auto"/>
        <w:ind w:left="425" w:hanging="198"/>
      </w:pPr>
      <w:r>
        <w:t>4. 完成组件校核前后、高风险误报和真实特征损失的系统统计。</w:t>
      </w:r>
    </w:p>
    <w:p w14:paraId="69B965C9">
      <w:pPr>
        <w:widowControl/>
        <w:spacing w:after="40" w:line="300" w:lineRule="auto"/>
        <w:ind w:left="425" w:hanging="198"/>
      </w:pPr>
      <w:r>
        <w:t>5. 用多个随机种子复验 48 维与 51 维结果，确认失败不是偶然训练波动。</w:t>
      </w:r>
    </w:p>
    <w:p w14:paraId="5163EC3C">
      <w:pPr>
        <w:widowControl/>
        <w:spacing w:after="40" w:line="300" w:lineRule="auto"/>
        <w:ind w:left="425" w:hanging="198"/>
      </w:pPr>
      <w:r>
        <w:t>6. 增加一个从未参与任何模型选择的冻结测试集，或明确将当前实验定位为开发性评估。</w:t>
      </w:r>
    </w:p>
    <w:p w14:paraId="6E37E000">
      <w:pPr>
        <w:widowControl/>
        <w:spacing w:after="40" w:line="300" w:lineRule="auto"/>
        <w:ind w:left="425" w:hanging="198"/>
      </w:pPr>
      <w:r>
        <w:t>7. 整理四架飞机的可视化，并核对预测 CSV 与 STEP 面数和 face_id 完全一致。</w:t>
      </w:r>
    </w:p>
    <w:p w14:paraId="698D427C">
      <w:pPr>
        <w:pStyle w:val="3"/>
        <w:keepNext/>
        <w:widowControl/>
        <w:spacing w:before="200" w:after="80"/>
      </w:pPr>
      <w:r>
        <w:t>八 推荐写作顺序</w:t>
      </w:r>
    </w:p>
    <w:p w14:paraId="6B705AA2">
      <w:pPr>
        <w:widowControl/>
        <w:spacing w:after="80" w:line="324" w:lineRule="auto"/>
        <w:ind w:firstLine="420"/>
      </w:pPr>
      <w:r>
        <w:t>实际写作不必按照论文页面顺序进行。建议先完成方法和实验事实，再写引言和摘要，以避免贡献表述超过现有证据。</w:t>
      </w:r>
    </w:p>
    <w:tbl>
      <w:tblPr>
        <w:tblStyle w:val="33"/>
        <w:tblW w:w="0" w:type="auto"/>
        <w:jc w:val="center"/>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Layout w:type="fixed"/>
        <w:tblCellMar>
          <w:top w:w="0" w:type="dxa"/>
          <w:left w:w="108" w:type="dxa"/>
          <w:bottom w:w="0" w:type="dxa"/>
          <w:right w:w="108" w:type="dxa"/>
        </w:tblCellMar>
      </w:tblPr>
      <w:tblGrid>
        <w:gridCol w:w="3135"/>
        <w:gridCol w:w="3135"/>
        <w:gridCol w:w="3135"/>
      </w:tblGrid>
      <w:tr w14:paraId="3F581064">
        <w:trPr>
          <w:tblHeader/>
          <w:jc w:val="center"/>
        </w:trPr>
        <w:tc>
          <w:tcPr>
            <w:tcW w:w="907" w:type="dxa"/>
            <w:shd w:val="clear" w:color="auto" w:fill="1F4E78"/>
            <w:tcMar>
              <w:top w:w="100" w:type="dxa"/>
              <w:left w:w="120" w:type="dxa"/>
              <w:bottom w:w="100" w:type="dxa"/>
              <w:right w:w="120" w:type="dxa"/>
            </w:tcMar>
            <w:vAlign w:val="center"/>
          </w:tcPr>
          <w:p w14:paraId="3E55FF09">
            <w:pPr>
              <w:jc w:val="center"/>
            </w:pPr>
            <w:r>
              <w:rPr>
                <w:rFonts w:ascii="Times New Roman" w:hAnsi="Times New Roman" w:eastAsia="微软雅黑"/>
                <w:b/>
                <w:color w:val="FFFFFF"/>
                <w:sz w:val="17"/>
              </w:rPr>
              <w:t>顺序</w:t>
            </w:r>
          </w:p>
        </w:tc>
        <w:tc>
          <w:tcPr>
            <w:tcW w:w="3005" w:type="dxa"/>
            <w:shd w:val="clear" w:color="auto" w:fill="1F4E78"/>
            <w:tcMar>
              <w:top w:w="100" w:type="dxa"/>
              <w:left w:w="120" w:type="dxa"/>
              <w:bottom w:w="100" w:type="dxa"/>
              <w:right w:w="120" w:type="dxa"/>
            </w:tcMar>
            <w:vAlign w:val="center"/>
          </w:tcPr>
          <w:p w14:paraId="3B2C9B98">
            <w:pPr>
              <w:jc w:val="center"/>
            </w:pPr>
            <w:r>
              <w:rPr>
                <w:rFonts w:ascii="Times New Roman" w:hAnsi="Times New Roman" w:eastAsia="微软雅黑"/>
                <w:b/>
                <w:color w:val="FFFFFF"/>
                <w:sz w:val="17"/>
              </w:rPr>
              <w:t>写作内容</w:t>
            </w:r>
          </w:p>
        </w:tc>
        <w:tc>
          <w:tcPr>
            <w:tcW w:w="4536" w:type="dxa"/>
            <w:shd w:val="clear" w:color="auto" w:fill="1F4E78"/>
            <w:tcMar>
              <w:top w:w="100" w:type="dxa"/>
              <w:left w:w="120" w:type="dxa"/>
              <w:bottom w:w="100" w:type="dxa"/>
              <w:right w:w="120" w:type="dxa"/>
            </w:tcMar>
            <w:vAlign w:val="center"/>
          </w:tcPr>
          <w:p w14:paraId="5CBC6718">
            <w:pPr>
              <w:jc w:val="center"/>
            </w:pPr>
            <w:r>
              <w:rPr>
                <w:rFonts w:ascii="Times New Roman" w:hAnsi="Times New Roman" w:eastAsia="微软雅黑"/>
                <w:b/>
                <w:color w:val="FFFFFF"/>
                <w:sz w:val="17"/>
              </w:rPr>
              <w:t>完成标准</w:t>
            </w:r>
          </w:p>
        </w:tc>
      </w:tr>
      <w:tr w14:paraId="09EF47D6">
        <w:trPr>
          <w:jc w:val="center"/>
        </w:trPr>
        <w:tc>
          <w:tcPr>
            <w:tcW w:w="907" w:type="dxa"/>
            <w:tcMar>
              <w:top w:w="100" w:type="dxa"/>
              <w:left w:w="120" w:type="dxa"/>
              <w:bottom w:w="100" w:type="dxa"/>
              <w:right w:w="120" w:type="dxa"/>
            </w:tcMar>
            <w:vAlign w:val="center"/>
          </w:tcPr>
          <w:p w14:paraId="57BB41E4">
            <w:pPr>
              <w:spacing w:after="0" w:line="264" w:lineRule="auto"/>
              <w:jc w:val="center"/>
            </w:pPr>
            <w:r>
              <w:rPr>
                <w:rFonts w:ascii="Times New Roman" w:hAnsi="Times New Roman" w:eastAsia="宋体"/>
                <w:color w:val="000000"/>
                <w:sz w:val="17"/>
              </w:rPr>
              <w:t>1</w:t>
            </w:r>
          </w:p>
        </w:tc>
        <w:tc>
          <w:tcPr>
            <w:tcW w:w="3005" w:type="dxa"/>
            <w:tcMar>
              <w:top w:w="100" w:type="dxa"/>
              <w:left w:w="120" w:type="dxa"/>
              <w:bottom w:w="100" w:type="dxa"/>
              <w:right w:w="120" w:type="dxa"/>
            </w:tcMar>
            <w:vAlign w:val="center"/>
          </w:tcPr>
          <w:p w14:paraId="63E6AA1D">
            <w:pPr>
              <w:spacing w:after="0" w:line="264" w:lineRule="auto"/>
              <w:jc w:val="left"/>
            </w:pPr>
            <w:r>
              <w:rPr>
                <w:rFonts w:ascii="Times New Roman" w:hAnsi="Times New Roman" w:eastAsia="宋体"/>
                <w:color w:val="000000"/>
                <w:sz w:val="17"/>
              </w:rPr>
              <w:t>数据集和实验协议</w:t>
            </w:r>
          </w:p>
        </w:tc>
        <w:tc>
          <w:tcPr>
            <w:tcW w:w="4536" w:type="dxa"/>
            <w:tcMar>
              <w:top w:w="100" w:type="dxa"/>
              <w:left w:w="120" w:type="dxa"/>
              <w:bottom w:w="100" w:type="dxa"/>
              <w:right w:w="120" w:type="dxa"/>
            </w:tcMar>
            <w:vAlign w:val="center"/>
          </w:tcPr>
          <w:p w14:paraId="6ACB2069">
            <w:pPr>
              <w:spacing w:after="0" w:line="264" w:lineRule="auto"/>
              <w:jc w:val="left"/>
            </w:pPr>
            <w:r>
              <w:rPr>
                <w:rFonts w:ascii="Times New Roman" w:hAnsi="Times New Roman" w:eastAsia="宋体"/>
                <w:color w:val="000000"/>
                <w:sz w:val="17"/>
              </w:rPr>
              <w:t>模型名单、面数、标签和划分可复现</w:t>
            </w:r>
          </w:p>
        </w:tc>
      </w:tr>
      <w:tr w14:paraId="490BDC8C">
        <w:trPr>
          <w:jc w:val="center"/>
        </w:trPr>
        <w:tc>
          <w:tcPr>
            <w:tcW w:w="907" w:type="dxa"/>
            <w:shd w:val="clear" w:color="auto" w:fill="F3F7FA"/>
            <w:tcMar>
              <w:top w:w="100" w:type="dxa"/>
              <w:left w:w="120" w:type="dxa"/>
              <w:bottom w:w="100" w:type="dxa"/>
              <w:right w:w="120" w:type="dxa"/>
            </w:tcMar>
            <w:vAlign w:val="center"/>
          </w:tcPr>
          <w:p w14:paraId="3E1A3216">
            <w:pPr>
              <w:spacing w:after="0" w:line="264" w:lineRule="auto"/>
              <w:jc w:val="center"/>
            </w:pPr>
            <w:r>
              <w:rPr>
                <w:rFonts w:ascii="Times New Roman" w:hAnsi="Times New Roman" w:eastAsia="宋体"/>
                <w:color w:val="000000"/>
                <w:sz w:val="17"/>
              </w:rPr>
              <w:t>2</w:t>
            </w:r>
          </w:p>
        </w:tc>
        <w:tc>
          <w:tcPr>
            <w:tcW w:w="3005" w:type="dxa"/>
            <w:shd w:val="clear" w:color="auto" w:fill="F3F7FA"/>
            <w:tcMar>
              <w:top w:w="100" w:type="dxa"/>
              <w:left w:w="120" w:type="dxa"/>
              <w:bottom w:w="100" w:type="dxa"/>
              <w:right w:w="120" w:type="dxa"/>
            </w:tcMar>
            <w:vAlign w:val="center"/>
          </w:tcPr>
          <w:p w14:paraId="6092721B">
            <w:pPr>
              <w:spacing w:after="0" w:line="264" w:lineRule="auto"/>
              <w:jc w:val="left"/>
            </w:pPr>
            <w:r>
              <w:rPr>
                <w:rFonts w:ascii="Times New Roman" w:hAnsi="Times New Roman" w:eastAsia="宋体"/>
                <w:color w:val="000000"/>
                <w:sz w:val="17"/>
              </w:rPr>
              <w:t>B-Rep 图表示与双专家方法</w:t>
            </w:r>
          </w:p>
        </w:tc>
        <w:tc>
          <w:tcPr>
            <w:tcW w:w="4536" w:type="dxa"/>
            <w:shd w:val="clear" w:color="auto" w:fill="F3F7FA"/>
            <w:tcMar>
              <w:top w:w="100" w:type="dxa"/>
              <w:left w:w="120" w:type="dxa"/>
              <w:bottom w:w="100" w:type="dxa"/>
              <w:right w:w="120" w:type="dxa"/>
            </w:tcMar>
            <w:vAlign w:val="center"/>
          </w:tcPr>
          <w:p w14:paraId="1F611D00">
            <w:pPr>
              <w:spacing w:after="0" w:line="264" w:lineRule="auto"/>
              <w:jc w:val="left"/>
            </w:pPr>
            <w:r>
              <w:rPr>
                <w:rFonts w:ascii="Times New Roman" w:hAnsi="Times New Roman" w:eastAsia="宋体"/>
                <w:color w:val="000000"/>
                <w:sz w:val="17"/>
              </w:rPr>
              <w:t>与当前代码及 stats 完全一致</w:t>
            </w:r>
          </w:p>
        </w:tc>
      </w:tr>
      <w:tr w14:paraId="7A3022FB">
        <w:trPr>
          <w:jc w:val="center"/>
        </w:trPr>
        <w:tc>
          <w:tcPr>
            <w:tcW w:w="907" w:type="dxa"/>
            <w:tcMar>
              <w:top w:w="100" w:type="dxa"/>
              <w:left w:w="120" w:type="dxa"/>
              <w:bottom w:w="100" w:type="dxa"/>
              <w:right w:w="120" w:type="dxa"/>
            </w:tcMar>
            <w:vAlign w:val="center"/>
          </w:tcPr>
          <w:p w14:paraId="0165B652">
            <w:pPr>
              <w:spacing w:after="0" w:line="264" w:lineRule="auto"/>
              <w:jc w:val="center"/>
            </w:pPr>
            <w:r>
              <w:rPr>
                <w:rFonts w:ascii="Times New Roman" w:hAnsi="Times New Roman" w:eastAsia="宋体"/>
                <w:color w:val="000000"/>
                <w:sz w:val="17"/>
              </w:rPr>
              <w:t>3</w:t>
            </w:r>
          </w:p>
        </w:tc>
        <w:tc>
          <w:tcPr>
            <w:tcW w:w="3005" w:type="dxa"/>
            <w:tcMar>
              <w:top w:w="100" w:type="dxa"/>
              <w:left w:w="120" w:type="dxa"/>
              <w:bottom w:w="100" w:type="dxa"/>
              <w:right w:w="120" w:type="dxa"/>
            </w:tcMar>
            <w:vAlign w:val="center"/>
          </w:tcPr>
          <w:p w14:paraId="688ACA17">
            <w:pPr>
              <w:spacing w:after="0" w:line="264" w:lineRule="auto"/>
              <w:jc w:val="left"/>
            </w:pPr>
            <w:r>
              <w:rPr>
                <w:rFonts w:ascii="Times New Roman" w:hAnsi="Times New Roman" w:eastAsia="宋体"/>
                <w:color w:val="000000"/>
                <w:sz w:val="17"/>
              </w:rPr>
              <w:t>主结果和误差分析</w:t>
            </w:r>
          </w:p>
        </w:tc>
        <w:tc>
          <w:tcPr>
            <w:tcW w:w="4536" w:type="dxa"/>
            <w:tcMar>
              <w:top w:w="100" w:type="dxa"/>
              <w:left w:w="120" w:type="dxa"/>
              <w:bottom w:w="100" w:type="dxa"/>
              <w:right w:w="120" w:type="dxa"/>
            </w:tcMar>
            <w:vAlign w:val="center"/>
          </w:tcPr>
          <w:p w14:paraId="1DD87D59">
            <w:pPr>
              <w:spacing w:after="0" w:line="264" w:lineRule="auto"/>
              <w:jc w:val="left"/>
            </w:pPr>
            <w:r>
              <w:rPr>
                <w:rFonts w:ascii="Times New Roman" w:hAnsi="Times New Roman" w:eastAsia="宋体"/>
                <w:color w:val="000000"/>
                <w:sz w:val="17"/>
              </w:rPr>
              <w:t>所有数字由最终 eval 文件自动生成</w:t>
            </w:r>
          </w:p>
        </w:tc>
      </w:tr>
      <w:tr w14:paraId="499510B9">
        <w:trPr>
          <w:jc w:val="center"/>
        </w:trPr>
        <w:tc>
          <w:tcPr>
            <w:tcW w:w="907" w:type="dxa"/>
            <w:shd w:val="clear" w:color="auto" w:fill="F3F7FA"/>
            <w:tcMar>
              <w:top w:w="100" w:type="dxa"/>
              <w:left w:w="120" w:type="dxa"/>
              <w:bottom w:w="100" w:type="dxa"/>
              <w:right w:w="120" w:type="dxa"/>
            </w:tcMar>
            <w:vAlign w:val="center"/>
          </w:tcPr>
          <w:p w14:paraId="382823EC">
            <w:pPr>
              <w:spacing w:after="0" w:line="264" w:lineRule="auto"/>
              <w:jc w:val="center"/>
            </w:pPr>
            <w:r>
              <w:rPr>
                <w:rFonts w:ascii="Times New Roman" w:hAnsi="Times New Roman" w:eastAsia="宋体"/>
                <w:color w:val="000000"/>
                <w:sz w:val="17"/>
              </w:rPr>
              <w:t>4</w:t>
            </w:r>
          </w:p>
        </w:tc>
        <w:tc>
          <w:tcPr>
            <w:tcW w:w="3005" w:type="dxa"/>
            <w:shd w:val="clear" w:color="auto" w:fill="F3F7FA"/>
            <w:tcMar>
              <w:top w:w="100" w:type="dxa"/>
              <w:left w:w="120" w:type="dxa"/>
              <w:bottom w:w="100" w:type="dxa"/>
              <w:right w:w="120" w:type="dxa"/>
            </w:tcMar>
            <w:vAlign w:val="center"/>
          </w:tcPr>
          <w:p w14:paraId="70F15F72">
            <w:pPr>
              <w:spacing w:after="0" w:line="264" w:lineRule="auto"/>
              <w:jc w:val="left"/>
            </w:pPr>
            <w:r>
              <w:rPr>
                <w:rFonts w:ascii="Times New Roman" w:hAnsi="Times New Roman" w:eastAsia="宋体"/>
                <w:color w:val="000000"/>
                <w:sz w:val="17"/>
              </w:rPr>
              <w:t>消融和组件分析</w:t>
            </w:r>
          </w:p>
        </w:tc>
        <w:tc>
          <w:tcPr>
            <w:tcW w:w="4536" w:type="dxa"/>
            <w:shd w:val="clear" w:color="auto" w:fill="F3F7FA"/>
            <w:tcMar>
              <w:top w:w="100" w:type="dxa"/>
              <w:left w:w="120" w:type="dxa"/>
              <w:bottom w:w="100" w:type="dxa"/>
              <w:right w:w="120" w:type="dxa"/>
            </w:tcMar>
            <w:vAlign w:val="center"/>
          </w:tcPr>
          <w:p w14:paraId="40849E67">
            <w:pPr>
              <w:spacing w:after="0" w:line="264" w:lineRule="auto"/>
              <w:jc w:val="left"/>
            </w:pPr>
            <w:r>
              <w:rPr>
                <w:rFonts w:ascii="Times New Roman" w:hAnsi="Times New Roman" w:eastAsia="宋体"/>
                <w:color w:val="000000"/>
                <w:sz w:val="17"/>
              </w:rPr>
              <w:t>结论由公平对比支撑</w:t>
            </w:r>
          </w:p>
        </w:tc>
      </w:tr>
      <w:tr w14:paraId="6B6C167D">
        <w:trPr>
          <w:jc w:val="center"/>
        </w:trPr>
        <w:tc>
          <w:tcPr>
            <w:tcW w:w="907" w:type="dxa"/>
            <w:tcMar>
              <w:top w:w="100" w:type="dxa"/>
              <w:left w:w="120" w:type="dxa"/>
              <w:bottom w:w="100" w:type="dxa"/>
              <w:right w:w="120" w:type="dxa"/>
            </w:tcMar>
            <w:vAlign w:val="center"/>
          </w:tcPr>
          <w:p w14:paraId="2F67DF7F">
            <w:pPr>
              <w:spacing w:after="0" w:line="264" w:lineRule="auto"/>
              <w:jc w:val="center"/>
            </w:pPr>
            <w:r>
              <w:rPr>
                <w:rFonts w:ascii="Times New Roman" w:hAnsi="Times New Roman" w:eastAsia="宋体"/>
                <w:color w:val="000000"/>
                <w:sz w:val="17"/>
              </w:rPr>
              <w:t>5</w:t>
            </w:r>
          </w:p>
        </w:tc>
        <w:tc>
          <w:tcPr>
            <w:tcW w:w="3005" w:type="dxa"/>
            <w:tcMar>
              <w:top w:w="100" w:type="dxa"/>
              <w:left w:w="120" w:type="dxa"/>
              <w:bottom w:w="100" w:type="dxa"/>
              <w:right w:w="120" w:type="dxa"/>
            </w:tcMar>
            <w:vAlign w:val="center"/>
          </w:tcPr>
          <w:p w14:paraId="3FA43C08">
            <w:pPr>
              <w:spacing w:after="0" w:line="264" w:lineRule="auto"/>
              <w:jc w:val="left"/>
            </w:pPr>
            <w:r>
              <w:rPr>
                <w:rFonts w:ascii="Times New Roman" w:hAnsi="Times New Roman" w:eastAsia="宋体"/>
                <w:color w:val="000000"/>
                <w:sz w:val="17"/>
              </w:rPr>
              <w:t>相关工作与讨论</w:t>
            </w:r>
          </w:p>
        </w:tc>
        <w:tc>
          <w:tcPr>
            <w:tcW w:w="4536" w:type="dxa"/>
            <w:tcMar>
              <w:top w:w="100" w:type="dxa"/>
              <w:left w:w="120" w:type="dxa"/>
              <w:bottom w:w="100" w:type="dxa"/>
              <w:right w:w="120" w:type="dxa"/>
            </w:tcMar>
            <w:vAlign w:val="center"/>
          </w:tcPr>
          <w:p w14:paraId="075D3F92">
            <w:pPr>
              <w:spacing w:after="0" w:line="264" w:lineRule="auto"/>
              <w:jc w:val="left"/>
            </w:pPr>
            <w:r>
              <w:rPr>
                <w:rFonts w:ascii="Times New Roman" w:hAnsi="Times New Roman" w:eastAsia="宋体"/>
                <w:color w:val="000000"/>
                <w:sz w:val="17"/>
              </w:rPr>
              <w:t>准确界定相对于现有研究的差异</w:t>
            </w:r>
          </w:p>
        </w:tc>
      </w:tr>
      <w:tr w14:paraId="57DFE5F5">
        <w:trPr>
          <w:jc w:val="center"/>
        </w:trPr>
        <w:tc>
          <w:tcPr>
            <w:tcW w:w="907" w:type="dxa"/>
            <w:shd w:val="clear" w:color="auto" w:fill="F3F7FA"/>
            <w:tcMar>
              <w:top w:w="100" w:type="dxa"/>
              <w:left w:w="120" w:type="dxa"/>
              <w:bottom w:w="100" w:type="dxa"/>
              <w:right w:w="120" w:type="dxa"/>
            </w:tcMar>
            <w:vAlign w:val="center"/>
          </w:tcPr>
          <w:p w14:paraId="4678399A">
            <w:pPr>
              <w:spacing w:after="0" w:line="264" w:lineRule="auto"/>
              <w:jc w:val="center"/>
            </w:pPr>
            <w:r>
              <w:rPr>
                <w:rFonts w:ascii="Times New Roman" w:hAnsi="Times New Roman" w:eastAsia="宋体"/>
                <w:color w:val="000000"/>
                <w:sz w:val="17"/>
              </w:rPr>
              <w:t>6</w:t>
            </w:r>
          </w:p>
        </w:tc>
        <w:tc>
          <w:tcPr>
            <w:tcW w:w="3005" w:type="dxa"/>
            <w:shd w:val="clear" w:color="auto" w:fill="F3F7FA"/>
            <w:tcMar>
              <w:top w:w="100" w:type="dxa"/>
              <w:left w:w="120" w:type="dxa"/>
              <w:bottom w:w="100" w:type="dxa"/>
              <w:right w:w="120" w:type="dxa"/>
            </w:tcMar>
            <w:vAlign w:val="center"/>
          </w:tcPr>
          <w:p w14:paraId="396AC3B7">
            <w:pPr>
              <w:spacing w:after="0" w:line="264" w:lineRule="auto"/>
              <w:jc w:val="left"/>
            </w:pPr>
            <w:r>
              <w:rPr>
                <w:rFonts w:ascii="Times New Roman" w:hAnsi="Times New Roman" w:eastAsia="宋体"/>
                <w:color w:val="000000"/>
                <w:sz w:val="17"/>
              </w:rPr>
              <w:t>引言 结论 摘要</w:t>
            </w:r>
          </w:p>
        </w:tc>
        <w:tc>
          <w:tcPr>
            <w:tcW w:w="4536" w:type="dxa"/>
            <w:shd w:val="clear" w:color="auto" w:fill="F3F7FA"/>
            <w:tcMar>
              <w:top w:w="100" w:type="dxa"/>
              <w:left w:w="120" w:type="dxa"/>
              <w:bottom w:w="100" w:type="dxa"/>
              <w:right w:w="120" w:type="dxa"/>
            </w:tcMar>
            <w:vAlign w:val="center"/>
          </w:tcPr>
          <w:p w14:paraId="57E4EF4D">
            <w:pPr>
              <w:spacing w:after="0" w:line="264" w:lineRule="auto"/>
              <w:jc w:val="left"/>
            </w:pPr>
            <w:r>
              <w:rPr>
                <w:rFonts w:ascii="Times New Roman" w:hAnsi="Times New Roman" w:eastAsia="宋体"/>
                <w:color w:val="000000"/>
                <w:sz w:val="17"/>
              </w:rPr>
              <w:t>贡献和结论不超出现有实验范围</w:t>
            </w:r>
          </w:p>
        </w:tc>
      </w:tr>
    </w:tbl>
    <w:p w14:paraId="697881FE">
      <w:pPr>
        <w:widowControl/>
        <w:spacing w:after="0"/>
      </w:pPr>
      <w:r/>
    </w:p>
    <w:p w14:paraId="41DC52D1">
      <w:pPr>
        <w:pStyle w:val="3"/>
        <w:keepNext/>
        <w:widowControl/>
        <w:spacing w:before="200" w:after="80"/>
      </w:pPr>
      <w:r>
        <w:t>九 一句话摘要主线</w:t>
      </w:r>
    </w:p>
    <w:p w14:paraId="35782B8F">
      <w:pPr>
        <w:widowControl/>
        <w:spacing w:after="80" w:line="324" w:lineRule="auto"/>
        <w:ind w:firstLine="420"/>
      </w:pPr>
      <w:r>
        <w:t>本文面向飞机 STEP 模型中的铆钉和表面特征识别，将 B-Rep 转换为包含几何与拓扑属性的面邻接图，通过两个独立图神经网络专家学习异质目标特征，并在未见完整飞机上评价面级识别、背景误报和结构一致性，为可追溯的 CAD 简化候选生成提供方法基础。</w:t>
      </w:r>
    </w:p>
    <w:p w14:paraId="3194AAB1">
      <w:pPr>
        <w:pStyle w:val="3"/>
        <w:keepNext/>
        <w:widowControl/>
        <w:spacing w:before="200" w:after="80"/>
      </w:pPr>
      <w:r>
        <w:t>十 当前最稳妥的论文结论</w:t>
      </w:r>
    </w:p>
    <w:p w14:paraId="4FB7D0ED">
      <w:pPr>
        <w:widowControl/>
        <w:spacing w:after="80" w:line="324" w:lineRule="auto"/>
        <w:ind w:firstLine="420"/>
      </w:pPr>
      <w:r>
        <w:t>当前证据能够支持的是：双专家 48 维 GNN 已在四架完整测试飞机上实现较高的小特征召回，并能把预测结果可靠映射到原始 STEP 面；背景到 surface_feature 的误报仍是主要限制，组件级拓扑信息更适合作为预测后的结构一致性分析，而不宜直接加入节点分类输入。后续需要通过独立测试和消融进一步确认该分析机制的普适性。</w:t>
      </w:r>
    </w:p>
    <w:sectPr>
      <w:footerReference r:id="rId7" w:type="default"/>
      <w:pgSz w:w="12240" w:h="15840"/>
      <w:pgMar w:top="1304" w:right="1417" w:bottom="1247" w:left="1417"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Cambria">
    <w:altName w:val="苹方-简"/>
    <w:panose1 w:val="02040503050406030204"/>
    <w:charset w:val="00"/>
    <w:family w:val="auto"/>
    <w:pitch w:val="default"/>
    <w:sig w:usb0="00000000" w:usb1="00000000" w:usb2="00000000" w:usb3="00000000" w:csb0="0000019F" w:csb1="00000000"/>
  </w:font>
  <w:font w:name="ＭＳ 明朝">
    <w:altName w:val="Hiragino Sans"/>
    <w:panose1 w:val="00000000000000000000"/>
    <w:charset w:val="80"/>
    <w:family w:val="roman"/>
    <w:pitch w:val="default"/>
    <w:sig w:usb0="00000000" w:usb1="00000000" w:usb2="00000010" w:usb3="00000000" w:csb0="00020000" w:csb1="00000000"/>
  </w:font>
  <w:font w:name="ＭＳ 明朝">
    <w:altName w:val="Hiragino Sans"/>
    <w:panose1 w:val="00000000000000000000"/>
    <w:charset w:val="86"/>
    <w:family w:val="auto"/>
    <w:pitch w:val="default"/>
    <w:sig w:usb0="00000000" w:usb1="00000000" w:usb2="00000000" w:usb3="00000000" w:csb0="00000000" w:csb1="00000000"/>
  </w:font>
  <w:font w:name="ＭＳ ゴシック">
    <w:altName w:val="Hiragino Sans"/>
    <w:panose1 w:val="00000000000000000000"/>
    <w:charset w:val="80"/>
    <w:family w:val="modern"/>
    <w:pitch w:val="default"/>
    <w:sig w:usb0="00000000" w:usb1="00000000" w:usb2="00000010" w:usb3="00000000" w:csb0="00020000" w:csb1="00000000"/>
  </w:font>
  <w:font w:name="Courier">
    <w:altName w:val="苹方-简"/>
    <w:panose1 w:val="02000500000000000000"/>
    <w:charset w:val="00"/>
    <w:family w:val="auto"/>
    <w:pitch w:val="default"/>
    <w:sig w:usb0="00000000" w:usb1="00000000" w:usb2="00000000" w:usb3="00000000" w:csb0="00000001" w:csb1="00000000"/>
  </w:font>
  <w:font w:name="微软雅黑">
    <w:altName w:val="方正雅意黑 GB18030L2"/>
    <w:panose1 w:val="00000000000000000000"/>
    <w:charset w:val="00"/>
    <w:family w:val="auto"/>
    <w:pitch w:val="default"/>
    <w:sig w:usb0="00000000" w:usb1="00000000" w:usb2="00000000" w:usb3="00000000" w:csb0="00000000" w:csb1="00000000"/>
  </w:font>
  <w:font w:name="ＭＳ 明朝">
    <w:altName w:val="Hiragino Sans"/>
    <w:panose1 w:val="00000000000000000000"/>
    <w:charset w:val="00"/>
    <w:family w:val="auto"/>
    <w:pitch w:val="default"/>
    <w:sig w:usb0="00000000" w:usb1="00000000" w:usb2="00000000" w:usb3="00000000" w:csb0="00000000" w:csb1="00000000"/>
  </w:font>
  <w:font w:name="Hiragino Sans">
    <w:panose1 w:val="020B0300000000000000"/>
    <w:charset w:val="80"/>
    <w:family w:val="auto"/>
    <w:pitch w:val="default"/>
    <w:sig w:usb0="E00002FF" w:usb1="7AE7FFFF" w:usb2="00000012" w:usb3="00000000" w:csb0="0002000D" w:csb1="00000000"/>
  </w:font>
  <w:font w:name="方正雅意黑 GB18030L2">
    <w:panose1 w:val="02000500000000000000"/>
    <w:charset w:val="86"/>
    <w:family w:val="auto"/>
    <w:pitch w:val="default"/>
    <w:sig w:usb0="E00002FF" w:usb1="38CFFCFB" w:usb2="00000016" w:usb3="00000000" w:csb0="6004019F" w:csb1="DFD70000"/>
  </w:font>
  <w:font w:name="Helvetica Neue">
    <w:panose1 w:val="02000503000000020004"/>
    <w:charset w:val="00"/>
    <w:family w:val="auto"/>
    <w:pitch w:val="default"/>
    <w:sig w:usb0="E50002FF" w:usb1="500079DB" w:usb2="00000010" w:usb3="00000000" w:csb0="00000000" w:csb1="00000000"/>
  </w:font>
  <w:font w:name="汉仪书宋二KW">
    <w:panose1 w:val="00020600040101010101"/>
    <w:charset w:val="86"/>
    <w:family w:val="auto"/>
    <w:pitch w:val="default"/>
    <w:sig w:usb0="A00002BF" w:usb1="18EF7CFA" w:usb2="00000016" w:usb3="00000000" w:csb0="00040000" w:csb1="00000000"/>
  </w:font>
  <w:font w:name="苹方-简">
    <w:panose1 w:val="020B0400000000000000"/>
    <w:charset w:val="86"/>
    <w:family w:val="auto"/>
    <w:pitch w:val="default"/>
    <w:sig w:usb0="A00002FF" w:usb1="7ACFFDFB" w:usb2="00000017" w:usb3="00000000" w:csb0="00040001" w:csb1="00000000"/>
  </w:font>
  <w:font w:name="Kingsoft Sign">
    <w:panose1 w:val="05050102010706020507"/>
    <w:charset w:val="00"/>
    <w:family w:val="auto"/>
    <w:pitch w:val="default"/>
    <w:sig w:usb0="00000000" w:usb1="10000000" w:usb2="00000000" w:usb3="00000000" w:csb0="00000001" w:csb1="00000000"/>
  </w:font>
  <w:font w:name="ＭＳ ゴシック">
    <w:altName w:val="苹方-简"/>
    <w:panose1 w:val="00000000000000000000"/>
    <w:charset w:val="00"/>
    <w:family w:val="auto"/>
    <w:pitch w:val="default"/>
    <w:sig w:usb0="00000000" w:usb1="00000000" w:usb2="00000000" w:usb3="00000000" w:csb0="00000000" w:csb1="00000000"/>
  </w:font>
  <w:font w:name="宋体-简">
    <w:panose1 w:val="02010800040101010101"/>
    <w:charset w:val="86"/>
    <w:family w:val="auto"/>
    <w:pitch w:val="default"/>
    <w:sig w:usb0="00000001" w:usb1="080F0000" w:usb2="00000000" w:usb3="00000000" w:csb0="00040000" w:csb1="00000000"/>
  </w:font>
  <w:font w:name="汉仪中黑KW">
    <w:panose1 w:val="00020600040101010101"/>
    <w:charset w:val="86"/>
    <w:family w:val="auto"/>
    <w:pitch w:val="default"/>
    <w:sig w:usb0="A00002BF" w:usb1="18EF7CFA" w:usb2="00000016" w:usb3="00000000" w:csb0="0004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3A5AC4B">
    <w:pPr>
      <w:pStyle w:val="25"/>
      <w:jc w:val="center"/>
    </w:pPr>
    <w:r>
      <w:rPr>
        <w:rFonts w:ascii="Times New Roman" w:hAnsi="Times New Roman" w:eastAsia="宋体"/>
        <w:color w:val="000000"/>
        <w:sz w:val="16"/>
      </w:rPr>
      <w:t>飞机 STEP 模型小特征识别期刊论文逻辑大纲</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9"/>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G1">
    <w15:presenceInfo w15:providerId="WPS Office" w15:userId="2555809842"/>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3"/>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677A4ECC"/>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imes New Roman" w:hAnsi="Times New Roman" w:eastAsia="宋体" w:cstheme="minorBidi"/>
      <w:sz w:val="21"/>
      <w:szCs w:val="22"/>
      <w:lang w:val="en-US" w:eastAsia="en-US" w:bidi="ar-SA"/>
    </w:rPr>
  </w:style>
  <w:style w:type="paragraph" w:styleId="3">
    <w:name w:val="heading 1"/>
    <w:basedOn w:val="1"/>
    <w:next w:val="1"/>
    <w:link w:val="139"/>
    <w:qFormat/>
    <w:uiPriority w:val="9"/>
    <w:pPr>
      <w:keepNext/>
      <w:keepLines/>
      <w:spacing w:before="480" w:after="0"/>
      <w:outlineLvl w:val="0"/>
    </w:pPr>
    <w:rPr>
      <w:rFonts w:asciiTheme="majorHAnsi" w:hAnsiTheme="majorHAnsi" w:eastAsiaTheme="majorEastAsia" w:cstheme="majorBidi"/>
      <w:b/>
      <w:bCs/>
      <w:color w:val="000000"/>
      <w:sz w:val="30"/>
      <w:szCs w:val="28"/>
    </w:rPr>
  </w:style>
  <w:style w:type="paragraph" w:styleId="4">
    <w:name w:val="heading 2"/>
    <w:basedOn w:val="1"/>
    <w:next w:val="1"/>
    <w:link w:val="140"/>
    <w:unhideWhenUsed/>
    <w:qFormat/>
    <w:uiPriority w:val="9"/>
    <w:pPr>
      <w:keepNext/>
      <w:keepLines/>
      <w:spacing w:before="200" w:after="0"/>
      <w:outlineLvl w:val="1"/>
    </w:pPr>
    <w:rPr>
      <w:rFonts w:asciiTheme="majorHAnsi" w:hAnsiTheme="majorHAnsi" w:eastAsiaTheme="majorEastAsia" w:cstheme="majorBidi"/>
      <w:b/>
      <w:bCs/>
      <w:color w:val="000000"/>
      <w:sz w:val="24"/>
      <w:szCs w:val="26"/>
    </w:rPr>
  </w:style>
  <w:style w:type="paragraph" w:styleId="5">
    <w:name w:val="heading 3"/>
    <w:basedOn w:val="1"/>
    <w:next w:val="1"/>
    <w:link w:val="141"/>
    <w:unhideWhenUsed/>
    <w:qFormat/>
    <w:uiPriority w:val="9"/>
    <w:pPr>
      <w:keepNext/>
      <w:keepLines/>
      <w:spacing w:before="200" w:after="0"/>
      <w:outlineLvl w:val="2"/>
    </w:pPr>
    <w:rPr>
      <w:rFonts w:asciiTheme="majorHAnsi" w:hAnsiTheme="majorHAnsi" w:eastAsiaTheme="majorEastAsia" w:cstheme="majorBidi"/>
      <w:b/>
      <w:bCs/>
      <w:color w:val="000000"/>
      <w:sz w:val="21"/>
    </w:rPr>
  </w:style>
  <w:style w:type="paragraph" w:styleId="6">
    <w:name w:val="heading 4"/>
    <w:basedOn w:val="1"/>
    <w:next w:val="1"/>
    <w:link w:val="151"/>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2"/>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3"/>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4"/>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5"/>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6"/>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3">
    <w:name w:val="Default Paragraph Font"/>
    <w:semiHidden/>
    <w:unhideWhenUsed/>
    <w:uiPriority w:val="1"/>
  </w:style>
  <w:style w:type="table" w:default="1" w:styleId="33">
    <w:name w:val="Normal Table"/>
    <w:semiHidden/>
    <w:unhideWhenUsed/>
    <w:uiPriority w:val="99"/>
    <w:tblPr>
      <w:tblCellMar>
        <w:top w:w="0" w:type="dxa"/>
        <w:left w:w="108" w:type="dxa"/>
        <w:bottom w:w="0" w:type="dxa"/>
        <w:right w:w="108" w:type="dxa"/>
      </w:tblCellMar>
    </w:tblPr>
  </w:style>
  <w:style w:type="paragraph" w:styleId="2">
    <w:name w:val="macro"/>
    <w:link w:val="148"/>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uiPriority w:val="99"/>
    <w:pPr>
      <w:ind w:left="1080" w:hanging="360"/>
      <w:contextualSpacing/>
    </w:pPr>
  </w:style>
  <w:style w:type="paragraph" w:styleId="13">
    <w:name w:val="List Number 2"/>
    <w:basedOn w:val="1"/>
    <w:unhideWhenUsed/>
    <w:uiPriority w:val="99"/>
    <w:pPr>
      <w:numPr>
        <w:ilvl w:val="0"/>
        <w:numId w:val="1"/>
      </w:numPr>
      <w:contextualSpacing/>
    </w:pPr>
  </w:style>
  <w:style w:type="paragraph" w:styleId="14">
    <w:name w:val="List Number"/>
    <w:basedOn w:val="1"/>
    <w:unhideWhenUsed/>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uiPriority w:val="99"/>
    <w:pPr>
      <w:numPr>
        <w:ilvl w:val="0"/>
        <w:numId w:val="3"/>
      </w:numPr>
      <w:contextualSpacing/>
    </w:pPr>
  </w:style>
  <w:style w:type="paragraph" w:styleId="17">
    <w:name w:val="annotation text"/>
    <w:basedOn w:val="1"/>
    <w:semiHidden/>
    <w:unhideWhenUsed/>
    <w:uiPriority w:val="99"/>
    <w:pPr>
      <w:jc w:val="left"/>
    </w:pPr>
  </w:style>
  <w:style w:type="paragraph" w:styleId="18">
    <w:name w:val="Body Text 3"/>
    <w:basedOn w:val="1"/>
    <w:link w:val="147"/>
    <w:unhideWhenUsed/>
    <w:uiPriority w:val="99"/>
    <w:pPr>
      <w:spacing w:after="120"/>
    </w:pPr>
    <w:rPr>
      <w:sz w:val="16"/>
      <w:szCs w:val="16"/>
    </w:rPr>
  </w:style>
  <w:style w:type="paragraph" w:styleId="19">
    <w:name w:val="List Bullet 3"/>
    <w:basedOn w:val="1"/>
    <w:unhideWhenUsed/>
    <w:uiPriority w:val="99"/>
    <w:pPr>
      <w:numPr>
        <w:ilvl w:val="0"/>
        <w:numId w:val="4"/>
      </w:numPr>
      <w:contextualSpacing/>
    </w:pPr>
  </w:style>
  <w:style w:type="paragraph" w:styleId="20">
    <w:name w:val="Body Text"/>
    <w:basedOn w:val="1"/>
    <w:link w:val="145"/>
    <w:unhideWhenUsed/>
    <w:uiPriority w:val="99"/>
    <w:pPr>
      <w:spacing w:after="120"/>
    </w:pPr>
  </w:style>
  <w:style w:type="paragraph" w:styleId="21">
    <w:name w:val="List Number 3"/>
    <w:basedOn w:val="1"/>
    <w:unhideWhenUsed/>
    <w:uiPriority w:val="99"/>
    <w:pPr>
      <w:numPr>
        <w:ilvl w:val="0"/>
        <w:numId w:val="5"/>
      </w:numPr>
      <w:contextualSpacing/>
    </w:pPr>
  </w:style>
  <w:style w:type="paragraph" w:styleId="22">
    <w:name w:val="List 2"/>
    <w:basedOn w:val="1"/>
    <w:unhideWhenUsed/>
    <w:uiPriority w:val="99"/>
    <w:pPr>
      <w:ind w:left="720" w:hanging="360"/>
      <w:contextualSpacing/>
    </w:pPr>
  </w:style>
  <w:style w:type="paragraph" w:styleId="23">
    <w:name w:val="List Continue"/>
    <w:basedOn w:val="1"/>
    <w:unhideWhenUsed/>
    <w:uiPriority w:val="99"/>
    <w:pPr>
      <w:spacing w:after="120"/>
      <w:ind w:left="360"/>
      <w:contextualSpacing/>
    </w:pPr>
  </w:style>
  <w:style w:type="paragraph" w:styleId="24">
    <w:name w:val="List Bullet 2"/>
    <w:basedOn w:val="1"/>
    <w:unhideWhenUsed/>
    <w:uiPriority w:val="99"/>
    <w:pPr>
      <w:numPr>
        <w:ilvl w:val="0"/>
        <w:numId w:val="6"/>
      </w:numPr>
      <w:contextualSpacing/>
    </w:pPr>
  </w:style>
  <w:style w:type="paragraph" w:styleId="25">
    <w:name w:val="footer"/>
    <w:basedOn w:val="1"/>
    <w:link w:val="137"/>
    <w:unhideWhenUsed/>
    <w:uiPriority w:val="99"/>
    <w:pPr>
      <w:tabs>
        <w:tab w:val="center" w:pos="4680"/>
        <w:tab w:val="right" w:pos="9360"/>
      </w:tabs>
      <w:spacing w:after="0" w:line="240" w:lineRule="auto"/>
    </w:pPr>
  </w:style>
  <w:style w:type="paragraph" w:styleId="26">
    <w:name w:val="header"/>
    <w:basedOn w:val="1"/>
    <w:link w:val="136"/>
    <w:unhideWhenUsed/>
    <w:uiPriority w:val="99"/>
    <w:pPr>
      <w:tabs>
        <w:tab w:val="center" w:pos="4680"/>
        <w:tab w:val="right" w:pos="9360"/>
      </w:tabs>
      <w:spacing w:after="0" w:line="240" w:lineRule="auto"/>
    </w:pPr>
  </w:style>
  <w:style w:type="paragraph" w:styleId="27">
    <w:name w:val="Subtitle"/>
    <w:basedOn w:val="1"/>
    <w:next w:val="1"/>
    <w:link w:val="143"/>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8">
    <w:name w:val="List"/>
    <w:basedOn w:val="1"/>
    <w:unhideWhenUsed/>
    <w:uiPriority w:val="99"/>
    <w:pPr>
      <w:ind w:left="360" w:hanging="360"/>
      <w:contextualSpacing/>
    </w:pPr>
  </w:style>
  <w:style w:type="paragraph" w:styleId="29">
    <w:name w:val="Body Text 2"/>
    <w:basedOn w:val="1"/>
    <w:link w:val="146"/>
    <w:unhideWhenUsed/>
    <w:uiPriority w:val="99"/>
    <w:pPr>
      <w:spacing w:after="120" w:line="480" w:lineRule="auto"/>
    </w:pPr>
  </w:style>
  <w:style w:type="paragraph" w:styleId="30">
    <w:name w:val="List Continue 2"/>
    <w:basedOn w:val="1"/>
    <w:unhideWhenUsed/>
    <w:uiPriority w:val="99"/>
    <w:pPr>
      <w:spacing w:after="120"/>
      <w:ind w:left="720"/>
      <w:contextualSpacing/>
    </w:pPr>
  </w:style>
  <w:style w:type="paragraph" w:styleId="31">
    <w:name w:val="List Continue 3"/>
    <w:basedOn w:val="1"/>
    <w:unhideWhenUsed/>
    <w:uiPriority w:val="99"/>
    <w:pPr>
      <w:spacing w:after="120"/>
      <w:ind w:left="1080"/>
      <w:contextualSpacing/>
    </w:pPr>
  </w:style>
  <w:style w:type="paragraph" w:styleId="32">
    <w:name w:val="Title"/>
    <w:basedOn w:val="1"/>
    <w:next w:val="1"/>
    <w:link w:val="142"/>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b/>
      <w:color w:val="000000"/>
      <w:spacing w:val="5"/>
      <w:kern w:val="28"/>
      <w:sz w:val="44"/>
      <w:szCs w:val="52"/>
    </w:rPr>
  </w:style>
  <w:style w:type="table" w:styleId="34">
    <w:name w:val="Table Grid"/>
    <w:basedOn w:val="33"/>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5">
    <w:name w:val="Light Shading"/>
    <w:basedOn w:val="33"/>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6">
    <w:name w:val="Light Shading Accent 1"/>
    <w:basedOn w:val="33"/>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7">
    <w:name w:val="Light Shading Accent 2"/>
    <w:basedOn w:val="33"/>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8">
    <w:name w:val="Light Shading Accent 3"/>
    <w:basedOn w:val="33"/>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9">
    <w:name w:val="Light Shading Accent 4"/>
    <w:basedOn w:val="33"/>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0">
    <w:name w:val="Light Shading Accent 5"/>
    <w:basedOn w:val="33"/>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1">
    <w:name w:val="Light Shading Accent 6"/>
    <w:basedOn w:val="33"/>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2">
    <w:name w:val="Light List"/>
    <w:basedOn w:val="33"/>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3">
    <w:name w:val="Light List Accent 1"/>
    <w:basedOn w:val="33"/>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4">
    <w:name w:val="Light List Accent 2"/>
    <w:basedOn w:val="33"/>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5">
    <w:name w:val="Light List Accent 3"/>
    <w:basedOn w:val="33"/>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6">
    <w:name w:val="Light List Accent 4"/>
    <w:basedOn w:val="33"/>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7">
    <w:name w:val="Light List Accent 5"/>
    <w:basedOn w:val="33"/>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8">
    <w:name w:val="Light List Accent 6"/>
    <w:basedOn w:val="33"/>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9">
    <w:name w:val="Light Grid"/>
    <w:basedOn w:val="33"/>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0">
    <w:name w:val="Light Grid Accent 1"/>
    <w:basedOn w:val="33"/>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1">
    <w:name w:val="Light Grid Accent 2"/>
    <w:basedOn w:val="33"/>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2">
    <w:name w:val="Light Grid Accent 3"/>
    <w:basedOn w:val="33"/>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3">
    <w:name w:val="Light Grid Accent 4"/>
    <w:basedOn w:val="33"/>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4">
    <w:name w:val="Light Grid Accent 5"/>
    <w:basedOn w:val="33"/>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5">
    <w:name w:val="Light Grid Accent 6"/>
    <w:basedOn w:val="33"/>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6">
    <w:name w:val="Medium Shading 1"/>
    <w:basedOn w:val="33"/>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7">
    <w:name w:val="Medium Shading 1 Accent 1"/>
    <w:basedOn w:val="33"/>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8">
    <w:name w:val="Medium Shading 1 Accent 2"/>
    <w:basedOn w:val="33"/>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9">
    <w:name w:val="Medium Shading 1 Accent 3"/>
    <w:basedOn w:val="33"/>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0">
    <w:name w:val="Medium Shading 1 Accent 4"/>
    <w:basedOn w:val="33"/>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1">
    <w:name w:val="Medium Shading 1 Accent 5"/>
    <w:basedOn w:val="33"/>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2">
    <w:name w:val="Medium Shading 1 Accent 6"/>
    <w:basedOn w:val="33"/>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3">
    <w:name w:val="Medium Shading 2"/>
    <w:basedOn w:val="33"/>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1"/>
    <w:basedOn w:val="33"/>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2"/>
    <w:basedOn w:val="33"/>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3"/>
    <w:basedOn w:val="33"/>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4"/>
    <w:basedOn w:val="33"/>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5"/>
    <w:basedOn w:val="33"/>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6"/>
    <w:basedOn w:val="33"/>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List 1"/>
    <w:basedOn w:val="33"/>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1">
    <w:name w:val="Medium List 1 Accent 1"/>
    <w:basedOn w:val="33"/>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2">
    <w:name w:val="Medium List 1 Accent 2"/>
    <w:basedOn w:val="33"/>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3">
    <w:name w:val="Medium List 1 Accent 3"/>
    <w:basedOn w:val="33"/>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4">
    <w:name w:val="Medium List 1 Accent 4"/>
    <w:basedOn w:val="33"/>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5">
    <w:name w:val="Medium List 1 Accent 5"/>
    <w:basedOn w:val="33"/>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6">
    <w:name w:val="Medium List 1 Accent 6"/>
    <w:basedOn w:val="33"/>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7">
    <w:name w:val="Medium List 2"/>
    <w:basedOn w:val="33"/>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1"/>
    <w:basedOn w:val="33"/>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2"/>
    <w:basedOn w:val="33"/>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3"/>
    <w:basedOn w:val="33"/>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4"/>
    <w:basedOn w:val="33"/>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5"/>
    <w:basedOn w:val="33"/>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6"/>
    <w:basedOn w:val="33"/>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Grid 1"/>
    <w:basedOn w:val="33"/>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5">
    <w:name w:val="Medium Grid 1 Accent 1"/>
    <w:basedOn w:val="33"/>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6">
    <w:name w:val="Medium Grid 1 Accent 2"/>
    <w:basedOn w:val="33"/>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7">
    <w:name w:val="Medium Grid 1 Accent 3"/>
    <w:basedOn w:val="33"/>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8">
    <w:name w:val="Medium Grid 1 Accent 4"/>
    <w:basedOn w:val="33"/>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9">
    <w:name w:val="Medium Grid 1 Accent 5"/>
    <w:basedOn w:val="33"/>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0">
    <w:name w:val="Medium Grid 1 Accent 6"/>
    <w:basedOn w:val="33"/>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1">
    <w:name w:val="Medium Grid 2"/>
    <w:basedOn w:val="33"/>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2">
    <w:name w:val="Medium Grid 2 Accent 1"/>
    <w:basedOn w:val="33"/>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3">
    <w:name w:val="Medium Grid 2 Accent 2"/>
    <w:basedOn w:val="33"/>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4">
    <w:name w:val="Medium Grid 2 Accent 3"/>
    <w:basedOn w:val="33"/>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5">
    <w:name w:val="Medium Grid 2 Accent 4"/>
    <w:basedOn w:val="33"/>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6">
    <w:name w:val="Medium Grid 2 Accent 5"/>
    <w:basedOn w:val="33"/>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7">
    <w:name w:val="Medium Grid 2 Accent 6"/>
    <w:basedOn w:val="33"/>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8">
    <w:name w:val="Medium Grid 3"/>
    <w:basedOn w:val="33"/>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9">
    <w:name w:val="Medium Grid 3 Accent 1"/>
    <w:basedOn w:val="33"/>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0">
    <w:name w:val="Medium Grid 3 Accent 2"/>
    <w:basedOn w:val="33"/>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1">
    <w:name w:val="Medium Grid 3 Accent 3"/>
    <w:basedOn w:val="33"/>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2">
    <w:name w:val="Medium Grid 3 Accent 4"/>
    <w:basedOn w:val="33"/>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3">
    <w:name w:val="Medium Grid 3 Accent 5"/>
    <w:basedOn w:val="33"/>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4">
    <w:name w:val="Medium Grid 3 Accent 6"/>
    <w:basedOn w:val="33"/>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5">
    <w:name w:val="Dark List"/>
    <w:basedOn w:val="33"/>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6">
    <w:name w:val="Dark List Accent 1"/>
    <w:basedOn w:val="33"/>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7">
    <w:name w:val="Dark List Accent 2"/>
    <w:basedOn w:val="33"/>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8">
    <w:name w:val="Dark List Accent 3"/>
    <w:basedOn w:val="33"/>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9">
    <w:name w:val="Dark List Accent 4"/>
    <w:basedOn w:val="33"/>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0">
    <w:name w:val="Dark List Accent 5"/>
    <w:basedOn w:val="33"/>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1">
    <w:name w:val="Dark List Accent 6"/>
    <w:basedOn w:val="33"/>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2">
    <w:name w:val="Colorful Shading"/>
    <w:basedOn w:val="33"/>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1"/>
    <w:basedOn w:val="33"/>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2"/>
    <w:basedOn w:val="33"/>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3"/>
    <w:basedOn w:val="33"/>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6">
    <w:name w:val="Colorful Shading Accent 4"/>
    <w:basedOn w:val="33"/>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5"/>
    <w:basedOn w:val="33"/>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Shading Accent 6"/>
    <w:basedOn w:val="33"/>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List"/>
    <w:basedOn w:val="33"/>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0">
    <w:name w:val="Colorful List Accent 1"/>
    <w:basedOn w:val="33"/>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1">
    <w:name w:val="Colorful List Accent 2"/>
    <w:basedOn w:val="33"/>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2">
    <w:name w:val="Colorful List Accent 3"/>
    <w:basedOn w:val="33"/>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3">
    <w:name w:val="Colorful List Accent 4"/>
    <w:basedOn w:val="33"/>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4">
    <w:name w:val="Colorful List Accent 5"/>
    <w:basedOn w:val="33"/>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5">
    <w:name w:val="Colorful List Accent 6"/>
    <w:basedOn w:val="33"/>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6">
    <w:name w:val="Colorful Grid"/>
    <w:basedOn w:val="33"/>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7">
    <w:name w:val="Colorful Grid Accent 1"/>
    <w:basedOn w:val="33"/>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8">
    <w:name w:val="Colorful Grid Accent 2"/>
    <w:basedOn w:val="33"/>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9">
    <w:name w:val="Colorful Grid Accent 3"/>
    <w:basedOn w:val="33"/>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0">
    <w:name w:val="Colorful Grid Accent 4"/>
    <w:basedOn w:val="33"/>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1">
    <w:name w:val="Colorful Grid Accent 5"/>
    <w:basedOn w:val="33"/>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2">
    <w:name w:val="Colorful Grid Accent 6"/>
    <w:basedOn w:val="33"/>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4">
    <w:name w:val="Strong"/>
    <w:basedOn w:val="133"/>
    <w:qFormat/>
    <w:uiPriority w:val="22"/>
    <w:rPr>
      <w:b/>
      <w:bCs/>
    </w:rPr>
  </w:style>
  <w:style w:type="character" w:styleId="135">
    <w:name w:val="Emphasis"/>
    <w:basedOn w:val="133"/>
    <w:qFormat/>
    <w:uiPriority w:val="20"/>
    <w:rPr>
      <w:i/>
      <w:iCs/>
    </w:rPr>
  </w:style>
  <w:style w:type="character" w:customStyle="1" w:styleId="136">
    <w:name w:val="Header Char"/>
    <w:basedOn w:val="133"/>
    <w:link w:val="26"/>
    <w:uiPriority w:val="99"/>
  </w:style>
  <w:style w:type="character" w:customStyle="1" w:styleId="137">
    <w:name w:val="Footer Char"/>
    <w:basedOn w:val="133"/>
    <w:link w:val="25"/>
    <w:uiPriority w:val="99"/>
  </w:style>
  <w:style w:type="paragraph" w:styleId="138">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9">
    <w:name w:val="Heading 1 Char"/>
    <w:basedOn w:val="133"/>
    <w:link w:val="3"/>
    <w:uiPriority w:val="9"/>
    <w:rPr>
      <w:rFonts w:asciiTheme="majorHAnsi" w:hAnsiTheme="majorHAnsi" w:eastAsiaTheme="majorEastAsia" w:cstheme="majorBidi"/>
      <w:b/>
      <w:bCs/>
      <w:color w:val="376092" w:themeColor="accent1" w:themeShade="BF"/>
      <w:sz w:val="28"/>
      <w:szCs w:val="28"/>
    </w:rPr>
  </w:style>
  <w:style w:type="character" w:customStyle="1" w:styleId="140">
    <w:name w:val="Heading 2 Char"/>
    <w:basedOn w:val="133"/>
    <w:link w:val="4"/>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1">
    <w:name w:val="Heading 3 Char"/>
    <w:basedOn w:val="133"/>
    <w:link w:val="5"/>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2">
    <w:name w:val="Title Char"/>
    <w:basedOn w:val="133"/>
    <w:link w:val="32"/>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3">
    <w:name w:val="Subtitle Char"/>
    <w:basedOn w:val="133"/>
    <w:link w:val="27"/>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4">
    <w:name w:val="List Paragraph"/>
    <w:basedOn w:val="1"/>
    <w:qFormat/>
    <w:uiPriority w:val="34"/>
    <w:pPr>
      <w:ind w:left="720"/>
      <w:contextualSpacing/>
    </w:pPr>
  </w:style>
  <w:style w:type="character" w:customStyle="1" w:styleId="145">
    <w:name w:val="Body Text Char"/>
    <w:basedOn w:val="133"/>
    <w:link w:val="20"/>
    <w:uiPriority w:val="99"/>
  </w:style>
  <w:style w:type="character" w:customStyle="1" w:styleId="146">
    <w:name w:val="Body Text 2 Char"/>
    <w:basedOn w:val="133"/>
    <w:link w:val="29"/>
    <w:uiPriority w:val="99"/>
  </w:style>
  <w:style w:type="character" w:customStyle="1" w:styleId="147">
    <w:name w:val="Body Text 3 Char"/>
    <w:basedOn w:val="133"/>
    <w:link w:val="18"/>
    <w:uiPriority w:val="99"/>
    <w:rPr>
      <w:sz w:val="16"/>
      <w:szCs w:val="16"/>
    </w:rPr>
  </w:style>
  <w:style w:type="character" w:customStyle="1" w:styleId="148">
    <w:name w:val="Macro Text Char"/>
    <w:basedOn w:val="133"/>
    <w:link w:val="2"/>
    <w:uiPriority w:val="99"/>
    <w:rPr>
      <w:rFonts w:ascii="Courier" w:hAnsi="Courier"/>
      <w:sz w:val="20"/>
      <w:szCs w:val="20"/>
    </w:rPr>
  </w:style>
  <w:style w:type="paragraph" w:styleId="149">
    <w:name w:val="Quote"/>
    <w:basedOn w:val="1"/>
    <w:next w:val="1"/>
    <w:link w:val="150"/>
    <w:qFormat/>
    <w:uiPriority w:val="29"/>
    <w:rPr>
      <w:i/>
      <w:iCs/>
      <w:color w:val="000000" w:themeColor="text1"/>
      <w14:textFill>
        <w14:solidFill>
          <w14:schemeClr w14:val="tx1"/>
        </w14:solidFill>
      </w14:textFill>
    </w:rPr>
  </w:style>
  <w:style w:type="character" w:customStyle="1" w:styleId="150">
    <w:name w:val="Quote Char"/>
    <w:basedOn w:val="133"/>
    <w:link w:val="149"/>
    <w:uiPriority w:val="29"/>
    <w:rPr>
      <w:i/>
      <w:iCs/>
      <w:color w:val="000000" w:themeColor="text1"/>
      <w14:textFill>
        <w14:solidFill>
          <w14:schemeClr w14:val="tx1"/>
        </w14:solidFill>
      </w14:textFill>
    </w:rPr>
  </w:style>
  <w:style w:type="character" w:customStyle="1" w:styleId="151">
    <w:name w:val="Heading 4 Char"/>
    <w:basedOn w:val="133"/>
    <w:link w:val="6"/>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2">
    <w:name w:val="Heading 5 Char"/>
    <w:basedOn w:val="133"/>
    <w:link w:val="7"/>
    <w:semiHidden/>
    <w:uiPriority w:val="9"/>
    <w:rPr>
      <w:rFonts w:asciiTheme="majorHAnsi" w:hAnsiTheme="majorHAnsi" w:eastAsiaTheme="majorEastAsia" w:cstheme="majorBidi"/>
      <w:color w:val="254061" w:themeColor="accent1" w:themeShade="80"/>
    </w:rPr>
  </w:style>
  <w:style w:type="character" w:customStyle="1" w:styleId="153">
    <w:name w:val="Heading 6 Char"/>
    <w:basedOn w:val="133"/>
    <w:link w:val="8"/>
    <w:semiHidden/>
    <w:uiPriority w:val="9"/>
    <w:rPr>
      <w:rFonts w:asciiTheme="majorHAnsi" w:hAnsiTheme="majorHAnsi" w:eastAsiaTheme="majorEastAsia" w:cstheme="majorBidi"/>
      <w:i/>
      <w:iCs/>
      <w:color w:val="254061" w:themeColor="accent1" w:themeShade="80"/>
    </w:rPr>
  </w:style>
  <w:style w:type="character" w:customStyle="1" w:styleId="154">
    <w:name w:val="Heading 7 Char"/>
    <w:basedOn w:val="133"/>
    <w:link w:val="9"/>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5">
    <w:name w:val="Heading 8 Char"/>
    <w:basedOn w:val="133"/>
    <w:link w:val="10"/>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6">
    <w:name w:val="Heading 9 Char"/>
    <w:basedOn w:val="133"/>
    <w:link w:val="11"/>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7">
    <w:name w:val="Intense Quote"/>
    <w:basedOn w:val="1"/>
    <w:next w:val="1"/>
    <w:link w:val="158"/>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8">
    <w:name w:val="Intense Quote Char"/>
    <w:basedOn w:val="133"/>
    <w:link w:val="157"/>
    <w:uiPriority w:val="30"/>
    <w:rPr>
      <w:b/>
      <w:bCs/>
      <w:i/>
      <w:iCs/>
      <w:color w:val="4F81BD" w:themeColor="accent1"/>
      <w14:textFill>
        <w14:solidFill>
          <w14:schemeClr w14:val="accent1"/>
        </w14:solidFill>
      </w14:textFill>
    </w:rPr>
  </w:style>
  <w:style w:type="character" w:customStyle="1" w:styleId="159">
    <w:name w:val="Subtle Emphasis"/>
    <w:basedOn w:val="133"/>
    <w:qFormat/>
    <w:uiPriority w:val="19"/>
    <w:rPr>
      <w:i/>
      <w:iCs/>
      <w:color w:val="808080" w:themeColor="text1" w:themeTint="80"/>
      <w14:textFill>
        <w14:solidFill>
          <w14:schemeClr w14:val="tx1">
            <w14:lumMod w14:val="50000"/>
            <w14:lumOff w14:val="50000"/>
          </w14:schemeClr>
        </w14:solidFill>
      </w14:textFill>
    </w:rPr>
  </w:style>
  <w:style w:type="character" w:customStyle="1" w:styleId="160">
    <w:name w:val="Intense Emphasis"/>
    <w:basedOn w:val="133"/>
    <w:qFormat/>
    <w:uiPriority w:val="21"/>
    <w:rPr>
      <w:b/>
      <w:bCs/>
      <w:i/>
      <w:iCs/>
      <w:color w:val="4F81BD" w:themeColor="accent1"/>
      <w14:textFill>
        <w14:solidFill>
          <w14:schemeClr w14:val="accent1"/>
        </w14:solidFill>
      </w14:textFill>
    </w:rPr>
  </w:style>
  <w:style w:type="character" w:customStyle="1" w:styleId="161">
    <w:name w:val="Subtle Reference"/>
    <w:basedOn w:val="133"/>
    <w:qFormat/>
    <w:uiPriority w:val="31"/>
    <w:rPr>
      <w:smallCaps/>
      <w:color w:val="C0504D" w:themeColor="accent2"/>
      <w:u w:val="single"/>
      <w14:textFill>
        <w14:solidFill>
          <w14:schemeClr w14:val="accent2"/>
        </w14:solidFill>
      </w14:textFill>
    </w:rPr>
  </w:style>
  <w:style w:type="character" w:customStyle="1" w:styleId="162">
    <w:name w:val="Intense Reference"/>
    <w:basedOn w:val="133"/>
    <w:qFormat/>
    <w:uiPriority w:val="32"/>
    <w:rPr>
      <w:b/>
      <w:bCs/>
      <w:smallCaps/>
      <w:color w:val="C0504D" w:themeColor="accent2"/>
      <w:spacing w:val="5"/>
      <w:u w:val="single"/>
      <w14:textFill>
        <w14:solidFill>
          <w14:schemeClr w14:val="accent2"/>
        </w14:solidFill>
      </w14:textFill>
    </w:rPr>
  </w:style>
  <w:style w:type="character" w:customStyle="1" w:styleId="163">
    <w:name w:val="Book Title"/>
    <w:basedOn w:val="133"/>
    <w:qFormat/>
    <w:uiPriority w:val="33"/>
    <w:rPr>
      <w:b/>
      <w:bCs/>
      <w:smallCaps/>
      <w:spacing w:val="5"/>
    </w:rPr>
  </w:style>
  <w:style w:type="paragraph" w:customStyle="1" w:styleId="164">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theme" Target="theme/theme1.xml"/><Relationship Id="rId7" Type="http://schemas.openxmlformats.org/officeDocument/2006/relationships/footer" Target="footer1.xml"/><Relationship Id="rId6" Type="http://schemas.openxmlformats.org/officeDocument/2006/relationships/endnotes" Target="endnotes.xml"/><Relationship Id="rId5" Type="http://schemas.openxmlformats.org/officeDocument/2006/relationships/footnotes" Target="footnotes.xml"/><Relationship Id="rId2" Type="http://schemas.openxmlformats.org/officeDocument/2006/relationships/settings" Target="settings.xml"/><Relationship Id="rId12" Type="http://schemas.microsoft.com/office/2011/relationships/people" Target="people.xml"/><Relationship Id="rId11" Type="http://schemas.openxmlformats.org/officeDocument/2006/relationships/fontTable" Target="fontTable.xml"/><Relationship Id="rId10" Type="http://schemas.openxmlformats.org/officeDocument/2006/relationships/customXml" Target="../customXml/item1.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http://schemas.openxmlformats.org/officeDocument/2006/bibliography" xmlns:b="http://schemas.openxmlformats.org/officeDocument/2006/bibliography" StyleName="APA" SelectedStyle="/APA.XSL"/>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10</Pages>
  <Words>0</Words>
  <Characters>0</Characters>
  <Lines>0</Lines>
  <Paragraphs>0</Paragraphs>
  <TotalTime>17</TotalTime>
  <ScaleCrop>false</ScaleCrop>
  <LinksUpToDate>false</LinksUpToDate>
  <CharactersWithSpaces>0</CharactersWithSpaces>
  <Application>WPS Office_12.1.26055.26055_F1E327BC-269C-435d-A152-05C5408002CA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2013-12-24T07:15:00Z</dcterms:created>
  <dc:creator>python-docx</dc:creator>
  <dc:description>generated by python-docx</dc:description>
  <cp:lastModifiedBy>G1</cp:lastModifiedBy>
  <dcterms:modified xsi:type="dcterms:W3CDTF">2026-09-05T19:39:09Z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2052-12.1.26055.26055</vt:lpwstr>
  </property>
  <property fmtid="{D5CDD505-2E9C-101B-9397-08002B2CF9AE}" pid="3" name="ICV">
    <vt:lpwstr>7A337751AE15B7F35DFF9B6AD6E54F74_42</vt:lpwstr>
  </property>
</Properties>
</file>