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AF3B" w14:textId="77777777" w:rsidR="0087787A" w:rsidRPr="0087787A" w:rsidRDefault="0087787A" w:rsidP="0087787A">
      <w:pPr>
        <w:jc w:val="center"/>
        <w:rPr>
          <w:b/>
          <w:bCs/>
        </w:rPr>
      </w:pPr>
      <w:r w:rsidRPr="0087787A">
        <w:rPr>
          <w:b/>
          <w:bCs/>
        </w:rPr>
        <w:t>Funding Request from the Asset Management Practicum and the William and Mary Breen Fund</w:t>
      </w:r>
    </w:p>
    <w:p w14:paraId="4F6D34D2" w14:textId="77777777" w:rsidR="0087787A" w:rsidRDefault="0087787A" w:rsidP="0087787A">
      <w:r>
        <w:t>I am requesting $50,000 to support predoctoral research assistance, travel, and survey data collection across three studies on the pricing and regulation of payment systems. None of the three projects currently has external or matching funding. The three projects share data needs, so I describe them first and then the common use of funds.</w:t>
      </w:r>
    </w:p>
    <w:p w14:paraId="2B902AD1" w14:textId="77777777" w:rsidR="0087787A" w:rsidRPr="0087787A" w:rsidRDefault="0087787A" w:rsidP="0087787A">
      <w:pPr>
        <w:rPr>
          <w:b/>
          <w:bCs/>
        </w:rPr>
      </w:pPr>
      <w:r w:rsidRPr="0087787A">
        <w:rPr>
          <w:b/>
          <w:bCs/>
        </w:rPr>
        <w:t>Project 1: Optimal Pricing for Publicly Operated Payment Systems</w:t>
      </w:r>
    </w:p>
    <w:p w14:paraId="54C75530" w14:textId="594E04ED" w:rsidR="0087787A" w:rsidRDefault="0087787A" w:rsidP="0087787A">
      <w:r>
        <w:t xml:space="preserve">Regulators have built public instant-payment systems—Pix in Brazil, UPI in India—on the premise that high card merchant fees reflect Visa and Mastercard market </w:t>
      </w:r>
      <w:proofErr w:type="gramStart"/>
      <w:r>
        <w:t>power, and</w:t>
      </w:r>
      <w:proofErr w:type="gramEnd"/>
      <w:r>
        <w:t xml:space="preserve"> have designed them to carry little or no merchant cost (India mandates </w:t>
      </w:r>
      <w:r w:rsidR="00B24774">
        <w:t>zero merchant</w:t>
      </w:r>
      <w:r>
        <w:t xml:space="preserve"> discount rate</w:t>
      </w:r>
      <w:r w:rsidR="00B24774">
        <w:t>s</w:t>
      </w:r>
      <w:r>
        <w:t xml:space="preserve"> on UPI). But in a two-sided market a high merchant fee mainly reflects the incentive to subsidize the consumer side, not market power, so even a welfare-maximizing public operator would generally want a positive merchant fee to fund adoption. This project characterizes optimal pricing for a public payment system on that logic and quantifies the welfare cost of the near-zero-fee designs now in use. It extends the structural framework in my job market paper, which finds that a low-cost government network attracts only modest adoption because it pays no consumer rewards.</w:t>
      </w:r>
    </w:p>
    <w:p w14:paraId="7E1BF44A" w14:textId="4BEB1EC5" w:rsidR="0087787A" w:rsidRDefault="0087787A" w:rsidP="0087787A">
      <w:r>
        <w:t>Identifying the optimal fee structure requires data on how adoption and usage respond to consumer- and merchant-side prices. I will use official and administrative data where it exists</w:t>
      </w:r>
      <w:r w:rsidR="002A3493">
        <w:t xml:space="preserve"> </w:t>
      </w:r>
      <w:r>
        <w:t xml:space="preserve">and field targeted surveys </w:t>
      </w:r>
      <w:r w:rsidR="00752C19">
        <w:t>to investigate targets that are not covered</w:t>
      </w:r>
      <w:r>
        <w:t>, such as whether small or large businesses value payment acceptance more.</w:t>
      </w:r>
    </w:p>
    <w:p w14:paraId="1177C3A1" w14:textId="77777777" w:rsidR="0087787A" w:rsidRPr="0087787A" w:rsidRDefault="0087787A" w:rsidP="0087787A">
      <w:pPr>
        <w:rPr>
          <w:b/>
          <w:bCs/>
        </w:rPr>
      </w:pPr>
      <w:r w:rsidRPr="0087787A">
        <w:rPr>
          <w:b/>
          <w:bCs/>
        </w:rPr>
        <w:t>Project 2: Payment-System Integration and Financial Integration</w:t>
      </w:r>
    </w:p>
    <w:p w14:paraId="3A98BDFF" w14:textId="77777777" w:rsidR="0087787A" w:rsidRDefault="0087787A" w:rsidP="0087787A">
      <w:r>
        <w:t xml:space="preserve">Research on financial-market integration has focused almost entirely on the convergence of interest rates and the cost of capital—just one of the three core functions of finance in Fischer Black’s sense, alongside risk-sharing and payments. The </w:t>
      </w:r>
      <w:proofErr w:type="gramStart"/>
      <w:r>
        <w:t>payments</w:t>
      </w:r>
      <w:proofErr w:type="gramEnd"/>
      <w:r>
        <w:t xml:space="preserve"> function has been largely ignored, even as domestic instant-payment systems are now linked across borders (UPI and PayNow between India and Singapore; the BIS Project Nexus effort; Pix acceptance in neighboring countries). This project studies the gains from integrating payments as distinct from capital-market integration—lower transaction costs, broader cross-border matching of buyers and sellers, and reduced settlement frictions—using the staggered rollout of these linkages.</w:t>
      </w:r>
    </w:p>
    <w:p w14:paraId="10BDB68F" w14:textId="77777777" w:rsidR="0087787A" w:rsidRDefault="0087787A" w:rsidP="0087787A">
      <w:r>
        <w:t>The empirical work needs data on cross-border payment flows from global processors such as Adyen, Stripe, and dLocal. Access is negotiated rather than purchased, so the cost falls on the processing side—preparing the agreements and cleaning the data—and relies substantially on research assistants at Northwestern.</w:t>
      </w:r>
    </w:p>
    <w:p w14:paraId="59113409" w14:textId="1AA36881" w:rsidR="0087787A" w:rsidRPr="0087787A" w:rsidRDefault="0087787A" w:rsidP="0087787A">
      <w:pPr>
        <w:rPr>
          <w:b/>
          <w:bCs/>
        </w:rPr>
      </w:pPr>
      <w:r w:rsidRPr="0087787A">
        <w:rPr>
          <w:b/>
          <w:bCs/>
        </w:rPr>
        <w:lastRenderedPageBreak/>
        <w:t>Project 3: Regulating On-Us and Off-Us Pricing in Peer-to-Peer Payments</w:t>
      </w:r>
      <w:r>
        <w:rPr>
          <w:b/>
          <w:bCs/>
        </w:rPr>
        <w:t xml:space="preserve"> (Joint with Sean Higgins)</w:t>
      </w:r>
    </w:p>
    <w:p w14:paraId="04061DEE" w14:textId="77777777" w:rsidR="0087787A" w:rsidRDefault="0087787A" w:rsidP="0087787A">
      <w:r>
        <w:t xml:space="preserve">In the Philippines, banks move funds over the central bank’s shared instant rails (InstaPay and PESONet) but set their own prices: transfers within a bank are typically free, while transfers to another bank carry a fee. The regulator worries this entrenches the largest banks, since consumers gravitate to whichever bank already holds the most counterparties. The older telecommunications access-pricing literature suggests a competing reading: high off-network prices partly reflect that a bank does not internalize the surplus accruing to the receiver, so they signal an externality rather than only market power. This project adapts that framework to bank-intermediated payments, asks when indexing off-us prices to on-us prices </w:t>
      </w:r>
      <w:proofErr w:type="gramStart"/>
      <w:r>
        <w:t>raises</w:t>
      </w:r>
      <w:proofErr w:type="gramEnd"/>
      <w:r>
        <w:t xml:space="preserve"> welfare, and uses the BSP’s bank-level pricing variation to discipline the model.</w:t>
      </w:r>
    </w:p>
    <w:p w14:paraId="79B6F312" w14:textId="5E249EB4" w:rsidR="0087787A" w:rsidRDefault="0087787A" w:rsidP="0087787A">
      <w:r>
        <w:t xml:space="preserve">Disciplining the model requires </w:t>
      </w:r>
      <w:r>
        <w:t>data on on-us and off-us payment volumes, as well as estimates of how much consumers value being able to receive payments on the payment platform. While we are negotiating access to the administrative data on payment volumes, targeted local surveys may be needed to evaluate the benefits for recipients.</w:t>
      </w:r>
    </w:p>
    <w:p w14:paraId="7A9801E8" w14:textId="77777777" w:rsidR="0087787A" w:rsidRPr="0087787A" w:rsidRDefault="0087787A" w:rsidP="0087787A">
      <w:pPr>
        <w:rPr>
          <w:b/>
          <w:bCs/>
        </w:rPr>
      </w:pPr>
      <w:r w:rsidRPr="0087787A">
        <w:rPr>
          <w:b/>
          <w:bCs/>
        </w:rPr>
        <w:t>Use of Funds</w:t>
      </w:r>
    </w:p>
    <w:p w14:paraId="348E119A" w14:textId="77777777" w:rsidR="0087787A" w:rsidRDefault="0087787A" w:rsidP="0087787A">
      <w:r>
        <w:t>The precise allocation will depend on how the data-access arrangements develop, but the funds fall into three categories common across the projects:</w:t>
      </w:r>
    </w:p>
    <w:p w14:paraId="4945FF36" w14:textId="376E5346" w:rsidR="0087787A" w:rsidRDefault="0087787A" w:rsidP="0087787A">
      <w:r>
        <w:t>Predoctoral research assistants ($32,000). This is the primary and most immediate need. Access to payment and transaction data in these countries—India especially—is often granted on the basis that the researcher cleans a dataset in exchange for access to it, so predoctoral assistants who can do that cleaning are the most direct way to obtain the data. Based at Northwestern, they will also process the data across all three projects and help prepare the access agreements with payment processors for Project 2.</w:t>
      </w:r>
    </w:p>
    <w:p w14:paraId="1D5C9249" w14:textId="094B7A07" w:rsidR="0087787A" w:rsidRDefault="0087787A" w:rsidP="0087787A">
      <w:r>
        <w:t xml:space="preserve">Local surveys ($10,000). Reserved for primary data that the official and administrative sources do not contain. The most likely use is to establish which margins matter—for example, whether small or large businesses value payment acceptance more (Project 1), or the </w:t>
      </w:r>
      <w:r w:rsidR="004836EC">
        <w:t>kinds of consumers and businesses that benefit from receiving payments</w:t>
      </w:r>
      <w:r>
        <w:t xml:space="preserve"> (Project 3).</w:t>
      </w:r>
    </w:p>
    <w:p w14:paraId="7A7B83D5" w14:textId="5D865D4E" w:rsidR="000D1B7F" w:rsidRDefault="0087787A" w:rsidP="0087787A">
      <w:r>
        <w:t>Travel ($8,000). Travel to India and the Philippines for data partnerships, oversight of any fieldwork, and meetings with central banks, along with conference presentation. Both are far enough that even a few trips are a meaningful cost.</w:t>
      </w:r>
    </w:p>
    <w:sectPr w:rsidR="000D1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87A"/>
    <w:rsid w:val="000D1B7F"/>
    <w:rsid w:val="002A3493"/>
    <w:rsid w:val="003536DD"/>
    <w:rsid w:val="004836EC"/>
    <w:rsid w:val="00752C19"/>
    <w:rsid w:val="008401E3"/>
    <w:rsid w:val="0087787A"/>
    <w:rsid w:val="00B24774"/>
    <w:rsid w:val="00C874E9"/>
    <w:rsid w:val="00E82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27309E"/>
  <w15:chartTrackingRefBased/>
  <w15:docId w15:val="{B9A345CE-AE06-C14A-80A5-606ED9BD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87A"/>
    <w:rPr>
      <w:rFonts w:eastAsiaTheme="majorEastAsia" w:cstheme="majorBidi"/>
      <w:color w:val="272727" w:themeColor="text1" w:themeTint="D8"/>
    </w:rPr>
  </w:style>
  <w:style w:type="paragraph" w:styleId="Title">
    <w:name w:val="Title"/>
    <w:basedOn w:val="Normal"/>
    <w:next w:val="Normal"/>
    <w:link w:val="TitleChar"/>
    <w:uiPriority w:val="10"/>
    <w:qFormat/>
    <w:rsid w:val="0087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87A"/>
    <w:pPr>
      <w:spacing w:before="160"/>
      <w:jc w:val="center"/>
    </w:pPr>
    <w:rPr>
      <w:i/>
      <w:iCs/>
      <w:color w:val="404040" w:themeColor="text1" w:themeTint="BF"/>
    </w:rPr>
  </w:style>
  <w:style w:type="character" w:customStyle="1" w:styleId="QuoteChar">
    <w:name w:val="Quote Char"/>
    <w:basedOn w:val="DefaultParagraphFont"/>
    <w:link w:val="Quote"/>
    <w:uiPriority w:val="29"/>
    <w:rsid w:val="0087787A"/>
    <w:rPr>
      <w:i/>
      <w:iCs/>
      <w:color w:val="404040" w:themeColor="text1" w:themeTint="BF"/>
    </w:rPr>
  </w:style>
  <w:style w:type="paragraph" w:styleId="ListParagraph">
    <w:name w:val="List Paragraph"/>
    <w:basedOn w:val="Normal"/>
    <w:uiPriority w:val="34"/>
    <w:qFormat/>
    <w:rsid w:val="0087787A"/>
    <w:pPr>
      <w:ind w:left="720"/>
      <w:contextualSpacing/>
    </w:pPr>
  </w:style>
  <w:style w:type="character" w:styleId="IntenseEmphasis">
    <w:name w:val="Intense Emphasis"/>
    <w:basedOn w:val="DefaultParagraphFont"/>
    <w:uiPriority w:val="21"/>
    <w:qFormat/>
    <w:rsid w:val="0087787A"/>
    <w:rPr>
      <w:i/>
      <w:iCs/>
      <w:color w:val="0F4761" w:themeColor="accent1" w:themeShade="BF"/>
    </w:rPr>
  </w:style>
  <w:style w:type="paragraph" w:styleId="IntenseQuote">
    <w:name w:val="Intense Quote"/>
    <w:basedOn w:val="Normal"/>
    <w:next w:val="Normal"/>
    <w:link w:val="IntenseQuoteChar"/>
    <w:uiPriority w:val="30"/>
    <w:qFormat/>
    <w:rsid w:val="00877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87A"/>
    <w:rPr>
      <w:i/>
      <w:iCs/>
      <w:color w:val="0F4761" w:themeColor="accent1" w:themeShade="BF"/>
    </w:rPr>
  </w:style>
  <w:style w:type="character" w:styleId="IntenseReference">
    <w:name w:val="Intense Reference"/>
    <w:basedOn w:val="DefaultParagraphFont"/>
    <w:uiPriority w:val="32"/>
    <w:qFormat/>
    <w:rsid w:val="00877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 Wang</dc:creator>
  <cp:keywords/>
  <dc:description/>
  <cp:lastModifiedBy>Lulu Wang</cp:lastModifiedBy>
  <cp:revision>6</cp:revision>
  <dcterms:created xsi:type="dcterms:W3CDTF">2026-06-01T16:44:00Z</dcterms:created>
  <dcterms:modified xsi:type="dcterms:W3CDTF">2026-06-01T16:48:00Z</dcterms:modified>
</cp:coreProperties>
</file>