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charges Notre Maison et Mes Missions</w:t>
      </w:r>
    </w:p>
    <w:p>
      <w:r>
        <w:t>Version documentaire 2.0 • 29 octobre 2026 • Référence applicative Mes Missions 12.0.0 et Notre Maison 1.4.0</w:t>
      </w:r>
    </w:p>
    <w:p>
      <w:pPr>
        <w:pStyle w:val="Heading1"/>
      </w:pPr>
      <w:r>
        <w:t>Objet du dossier</w:t>
      </w:r>
    </w:p>
    <w:p>
      <w:r>
        <w:t>Ce cahier définit le produit familial, les règles fonctionnelles, les parcours, les contraintes et les conditions de reprise par une autre IA. Il consolide la V1.1 retrouvée dans Drive avec les demandes des 28 et 29 octobre et les sources livrées V12/V1.4. Il permet de maintenir le produit sans reconstruire les décisions à partir d’une conversation.</w:t>
      </w:r>
    </w:p>
    <w:p>
      <w:r>
        <w:t>La version 2.0 désigne la documentation, pas une nouvelle version du logiciel. Elle ne prouve pas que V12/V1.4 ou son SQL ont été installés en production. Les deux ZIP sources du dossier de reprise restent les références de code.</w:t>
      </w:r>
    </w:p>
    <w:p>
      <w:pPr>
        <w:pStyle w:val="Heading1"/>
      </w:pPr>
      <w:r>
        <w:t>Comment lire les statuts</w:t>
      </w:r>
    </w:p>
    <w:p>
      <w:pPr>
        <w:pStyle w:val="ListBullet"/>
      </w:pPr>
      <w:r/>
      <w:r>
        <w:rPr>
          <w:b/>
        </w:rPr>
        <w:t>Demandé</w:t>
      </w:r>
      <w:r>
        <w:t xml:space="preserve"> : besoin exprimé par Laurie, à respecter dans la cible.</w:t>
      </w:r>
    </w:p>
    <w:p>
      <w:pPr>
        <w:pStyle w:val="ListBullet"/>
      </w:pPr>
      <w:r/>
      <w:r>
        <w:rPr>
          <w:b/>
        </w:rPr>
        <w:t>Livré</w:t>
      </w:r>
      <w:r>
        <w:t xml:space="preserve"> : présent dans les sources V12/V1.4 ; ne signifie pas déployé ni validé sur matériel.</w:t>
      </w:r>
    </w:p>
    <w:p>
      <w:pPr>
        <w:pStyle w:val="ListBullet"/>
      </w:pPr>
      <w:r/>
      <w:r>
        <w:rPr>
          <w:b/>
        </w:rPr>
        <w:t>Cible à vérifier</w:t>
      </w:r>
      <w:r>
        <w:t xml:space="preserve"> : règle détaillée conservée de V1.1 ou objectif de qualité ; sa conformité n’est pas déclarée.</w:t>
      </w:r>
    </w:p>
    <w:p>
      <w:pPr>
        <w:pStyle w:val="ListBullet"/>
      </w:pPr>
      <w:r/>
      <w:r>
        <w:rPr>
          <w:b/>
        </w:rPr>
        <w:t>Proposé</w:t>
      </w:r>
      <w:r>
        <w:t xml:space="preserve"> : choix de conception non confirmé, à maintenir distinct d’une décision de la famille.</w:t>
      </w:r>
    </w:p>
    <w:p>
      <w:pPr>
        <w:pStyle w:val="ListBullet"/>
      </w:pPr>
      <w:r/>
      <w:r>
        <w:rPr>
          <w:b/>
        </w:rPr>
        <w:t>Ouvert</w:t>
      </w:r>
      <w:r>
        <w:t xml:space="preserve"> : une information ou un arbitrage manque ; avancer sur les travaux indépendants.</w:t>
      </w:r>
    </w:p>
    <w:p>
      <w:r>
        <w:t>Les registres d’exigences et de tests maintiennent leurs IDs historiques. Les références EX01–EX67 et T01–T73 restent utilisables ; les ajouts commencent à EX68 et T74.</w:t>
      </w:r>
    </w:p>
    <w:p>
      <w:pPr>
        <w:pStyle w:val="Heading1"/>
      </w:pPr>
      <w:r>
        <w:t>Sources et autorité</w:t>
      </w:r>
    </w:p>
    <w:p>
      <w:r>
        <w:t>1. Cahier V1.1 Drive, source lue le 29/10/2026 : https://drive.google.com/file/d/1QFZzpNr6SfTkUSljKx8bo6XSOLTvYVPi/view.</w:t>
      </w:r>
    </w:p>
    <w:p>
      <w:r>
        <w:t>2. Demandes visibles récentes de Laurie, dont simplification, étapes et déploiement automatisé.</w:t>
      </w:r>
    </w:p>
    <w:p>
      <w:r>
        <w:t>3. Sources complètes Mes Missions V12 et Notre Maison V1.4, guides V12, SQL 003, politique écran et tests.</w:t>
      </w:r>
    </w:p>
    <w:p>
      <w:r>
        <w:t>4. Dossier de reprise du 29/10/2026, dont les workflows sont une proposition d’outillage non encore activée.</w:t>
      </w:r>
    </w:p>
    <w:p>
      <w:r>
        <w:t>Une demande récente explicite remplace un choix antérieur sur le même point. Les hypothèses de V1.1 ne deviennent pas des décisions par leur copie. La mémoire conversationnelle seule n’est pas une preuve de production. Aucun document Drive existant n’est modifié par cette génération et aucun système Nexus, Atlas, Harmonie ou Tempo n’est alimenté.</w:t>
      </w:r>
    </w:p>
    <w:p>
      <w:pPr>
        <w:pStyle w:val="Heading1"/>
      </w:pPr>
      <w:r>
        <w:t>Changements majeurs depuis V1.1</w:t>
      </w:r>
    </w:p>
    <w:tbl>
      <w:tblPr>
        <w:tblStyle w:val="LightShading-Accent1"/>
        <w:tblW w:type="auto" w:w="0"/>
        <w:tblLook w:firstColumn="1" w:firstRow="1" w:lastColumn="0" w:lastRow="0" w:noHBand="0" w:noVBand="1" w:val="04A0"/>
      </w:tblPr>
      <w:tblGrid>
        <w:gridCol w:w="4876"/>
        <w:gridCol w:w="4876"/>
      </w:tblGrid>
      <w:tr>
        <w:trPr>
          <w:cantSplit/>
          <w:tblHeader/>
        </w:trPr>
        <w:tc>
          <w:tcPr>
            <w:tcW w:type="dxa" w:w="4876"/>
          </w:tcPr>
          <w:p>
            <w:pPr>
              <w:spacing w:after="80" w:before="80"/>
            </w:pPr>
            <w:r>
              <w:rPr>
                <w:sz w:val="17"/>
              </w:rPr>
              <w:t>Sujet</w:t>
            </w:r>
          </w:p>
        </w:tc>
        <w:tc>
          <w:tcPr>
            <w:tcW w:type="dxa" w:w="4876"/>
          </w:tcPr>
          <w:p>
            <w:pPr>
              <w:spacing w:after="80" w:before="80"/>
            </w:pPr>
            <w:r>
              <w:rPr>
                <w:sz w:val="17"/>
              </w:rPr>
              <w:t>Référence actuelle</w:t>
            </w:r>
          </w:p>
        </w:tc>
      </w:tr>
      <w:tr>
        <w:trPr>
          <w:cantSplit/>
        </w:trPr>
        <w:tc>
          <w:tcPr>
            <w:tcW w:type="dxa" w:w="4876"/>
          </w:tcPr>
          <w:p>
            <w:pPr>
              <w:spacing w:after="80" w:before="80"/>
            </w:pPr>
            <w:r>
              <w:rPr>
                <w:sz w:val="17"/>
              </w:rPr>
              <w:t>Tableau téléphone</w:t>
            </w:r>
          </w:p>
        </w:tc>
        <w:tc>
          <w:tcPr>
            <w:tcW w:type="dxa" w:w="4876"/>
          </w:tcPr>
          <w:p>
            <w:pPr>
              <w:spacing w:after="80" w:before="80"/>
            </w:pPr>
            <w:r>
              <w:rPr>
                <w:sz w:val="17"/>
              </w:rPr>
              <w:t>Aujourd’hui personnel, puis Gérer et Réglages</w:t>
            </w:r>
          </w:p>
        </w:tc>
      </w:tr>
      <w:tr>
        <w:trPr>
          <w:cantSplit/>
        </w:trPr>
        <w:tc>
          <w:tcPr>
            <w:tcW w:type="dxa" w:w="4876"/>
          </w:tcPr>
          <w:p>
            <w:pPr>
              <w:spacing w:after="80" w:before="80"/>
            </w:pPr>
            <w:r>
              <w:rPr>
                <w:sz w:val="17"/>
              </w:rPr>
              <w:t>Niveau de détail</w:t>
            </w:r>
          </w:p>
        </w:tc>
        <w:tc>
          <w:tcPr>
            <w:tcW w:type="dxa" w:w="4876"/>
          </w:tcPr>
          <w:p>
            <w:pPr>
              <w:spacing w:after="80" w:before="80"/>
            </w:pPr>
            <w:r>
              <w:rPr>
                <w:sz w:val="17"/>
              </w:rPr>
              <w:t>Une mission contient des étapes dépliables ; plus un item de dashboard par micro-action</w:t>
            </w:r>
          </w:p>
        </w:tc>
      </w:tr>
      <w:tr>
        <w:trPr>
          <w:cantSplit/>
        </w:trPr>
        <w:tc>
          <w:tcPr>
            <w:tcW w:type="dxa" w:w="4876"/>
          </w:tcPr>
          <w:p>
            <w:pPr>
              <w:spacing w:after="80" w:before="80"/>
            </w:pPr>
            <w:r>
              <w:rPr>
                <w:sz w:val="17"/>
              </w:rPr>
              <w:t>Sans date</w:t>
            </w:r>
          </w:p>
        </w:tc>
        <w:tc>
          <w:tcPr>
            <w:tcW w:type="dxa" w:w="4876"/>
          </w:tcPr>
          <w:p>
            <w:pPr>
              <w:spacing w:after="80" w:before="80"/>
            </w:pPr>
            <w:r>
              <w:rPr>
                <w:sz w:val="17"/>
              </w:rPr>
              <w:t>Dans Gérer uniquement ; exclu du dashboard et des statistiques de réalisation</w:t>
            </w:r>
          </w:p>
        </w:tc>
      </w:tr>
      <w:tr>
        <w:trPr>
          <w:cantSplit/>
        </w:trPr>
        <w:tc>
          <w:tcPr>
            <w:tcW w:type="dxa" w:w="4876"/>
          </w:tcPr>
          <w:p>
            <w:pPr>
              <w:spacing w:after="80" w:before="80"/>
            </w:pPr>
            <w:r>
              <w:rPr>
                <w:sz w:val="17"/>
              </w:rPr>
              <w:t>Création</w:t>
            </w:r>
          </w:p>
        </w:tc>
        <w:tc>
          <w:tcPr>
            <w:tcW w:type="dxa" w:w="4876"/>
          </w:tcPr>
          <w:p>
            <w:pPr>
              <w:spacing w:after="80" w:before="80"/>
            </w:pPr>
            <w:r>
              <w:rPr>
                <w:sz w:val="17"/>
              </w:rPr>
              <w:t>Formulaire guidé, détails et options avancées progressifs</w:t>
            </w:r>
          </w:p>
        </w:tc>
      </w:tr>
      <w:tr>
        <w:trPr>
          <w:cantSplit/>
        </w:trPr>
        <w:tc>
          <w:tcPr>
            <w:tcW w:type="dxa" w:w="4876"/>
          </w:tcPr>
          <w:p>
            <w:pPr>
              <w:spacing w:after="80" w:before="80"/>
            </w:pPr>
            <w:r>
              <w:rPr>
                <w:sz w:val="17"/>
              </w:rPr>
              <w:t>Reprise V10</w:t>
            </w:r>
          </w:p>
        </w:tc>
        <w:tc>
          <w:tcPr>
            <w:tcW w:type="dxa" w:w="4876"/>
          </w:tcPr>
          <w:p>
            <w:pPr>
              <w:spacing w:after="80" w:before="80"/>
            </w:pPr>
            <w:r>
              <w:rPr>
                <w:sz w:val="17"/>
              </w:rPr>
              <w:t>Automatique une fois pour les listes personnelles convertibles ; bilan et sources sauvegardées</w:t>
            </w:r>
          </w:p>
        </w:tc>
      </w:tr>
      <w:tr>
        <w:trPr>
          <w:cantSplit/>
        </w:trPr>
        <w:tc>
          <w:tcPr>
            <w:tcW w:type="dxa" w:w="4876"/>
          </w:tcPr>
          <w:p>
            <w:pPr>
              <w:spacing w:after="80" w:before="80"/>
            </w:pPr>
            <w:r>
              <w:rPr>
                <w:sz w:val="17"/>
              </w:rPr>
              <w:t>Synchronisation</w:t>
            </w:r>
          </w:p>
        </w:tc>
        <w:tc>
          <w:tcPr>
            <w:tcW w:type="dxa" w:w="4876"/>
          </w:tcPr>
          <w:p>
            <w:pPr>
              <w:spacing w:after="80" w:before="80"/>
            </w:pPr>
            <w:r>
              <w:rPr>
                <w:sz w:val="17"/>
              </w:rPr>
              <w:t>Automatique par RPC et polling de révision ; retry contextualisé</w:t>
            </w:r>
          </w:p>
        </w:tc>
      </w:tr>
      <w:tr>
        <w:trPr>
          <w:cantSplit/>
        </w:trPr>
        <w:tc>
          <w:tcPr>
            <w:tcW w:type="dxa" w:w="4876"/>
          </w:tcPr>
          <w:p>
            <w:pPr>
              <w:spacing w:after="80" w:before="80"/>
            </w:pPr>
            <w:r>
              <w:rPr>
                <w:sz w:val="17"/>
              </w:rPr>
              <w:t>Administration tablette</w:t>
            </w:r>
          </w:p>
        </w:tc>
        <w:tc>
          <w:tcPr>
            <w:tcW w:type="dxa" w:w="4876"/>
          </w:tcPr>
          <w:p>
            <w:pPr>
              <w:spacing w:after="80" w:before="80"/>
            </w:pPr>
            <w:r>
              <w:rPr>
                <w:sz w:val="17"/>
              </w:rPr>
              <w:t>Association appareil conservée et authentification parent temporaire</w:t>
            </w:r>
          </w:p>
        </w:tc>
      </w:tr>
      <w:tr>
        <w:trPr>
          <w:cantSplit/>
        </w:trPr>
        <w:tc>
          <w:tcPr>
            <w:tcW w:type="dxa" w:w="4876"/>
          </w:tcPr>
          <w:p>
            <w:pPr>
              <w:spacing w:after="80" w:before="80"/>
            </w:pPr>
            <w:r>
              <w:rPr>
                <w:sz w:val="17"/>
              </w:rPr>
              <w:t>Écran</w:t>
            </w:r>
          </w:p>
        </w:tc>
        <w:tc>
          <w:tcPr>
            <w:tcW w:type="dxa" w:w="4876"/>
          </w:tcPr>
          <w:p>
            <w:pPr>
              <w:spacing w:after="80" w:before="80"/>
            </w:pPr>
            <w:r>
              <w:rPr>
                <w:sz w:val="17"/>
              </w:rPr>
              <w:t>Lenovo Android 10, Fully Kiosk, politique locale jour/nuit/mouvement</w:t>
            </w:r>
          </w:p>
        </w:tc>
      </w:tr>
      <w:tr>
        <w:trPr>
          <w:cantSplit/>
        </w:trPr>
        <w:tc>
          <w:tcPr>
            <w:tcW w:type="dxa" w:w="4876"/>
          </w:tcPr>
          <w:p>
            <w:pPr>
              <w:spacing w:after="80" w:before="80"/>
            </w:pPr>
            <w:r>
              <w:rPr>
                <w:sz w:val="17"/>
              </w:rPr>
              <w:t>Hébergement</w:t>
            </w:r>
          </w:p>
        </w:tc>
        <w:tc>
          <w:tcPr>
            <w:tcW w:type="dxa" w:w="4876"/>
          </w:tcPr>
          <w:p>
            <w:pPr>
              <w:spacing w:after="80" w:before="80"/>
            </w:pPr>
            <w:r>
              <w:rPr>
                <w:sz w:val="17"/>
              </w:rPr>
              <w:t>Deux GitHub Pages et Supabase existant ; pas de BFF/serveur supplémentaire requis pour cette version</w:t>
            </w:r>
          </w:p>
        </w:tc>
      </w:tr>
      <w:tr>
        <w:trPr>
          <w:cantSplit/>
        </w:trPr>
        <w:tc>
          <w:tcPr>
            <w:tcW w:type="dxa" w:w="4876"/>
          </w:tcPr>
          <w:p>
            <w:pPr>
              <w:spacing w:after="80" w:before="80"/>
            </w:pPr>
            <w:r>
              <w:rPr>
                <w:sz w:val="17"/>
              </w:rPr>
              <w:t>Livraison future</w:t>
            </w:r>
          </w:p>
        </w:tc>
        <w:tc>
          <w:tcPr>
            <w:tcW w:type="dxa" w:w="4876"/>
          </w:tcPr>
          <w:p>
            <w:pPr>
              <w:spacing w:after="80" w:before="80"/>
            </w:pPr>
            <w:r>
              <w:rPr>
                <w:sz w:val="17"/>
              </w:rPr>
              <w:t>Claude prend en charge tests, migrations et publication après initialisation des accès</w:t>
            </w:r>
          </w:p>
        </w:tc>
      </w:tr>
    </w:tbl>
    <w:p/>
    <w:p>
      <w:pPr>
        <w:pStyle w:val="Heading1"/>
      </w:pPr>
      <w:r>
        <w:t>1 Finalité et périmètre</w:t>
      </w:r>
    </w:p>
    <w:p>
      <w:r>
        <w:t>Faire de la tablette le point visible des responsabilités familiales et permettre à chacun d’agir depuis son téléphone. Réduire les relances humaines et la charge de navigation, sans supprimer les détails nécessaires à l’autonomie. Encourager sans classement culpabilisant.</w:t>
      </w:r>
    </w:p>
    <w:p>
      <w:r>
        <w:t>Le foyer est présenté par trois personnes : Annabelle, Papa, Maman. Jonathan ne possède pas de colonne de missions ni de statistiques dans ce périmètre ; sa caméra est un service secondaire distinct. Les personnes sont des responsables métier, pas des identifiants d’appareils.</w:t>
      </w:r>
    </w:p>
    <w:p>
      <w:r>
        <w:t>Notre Maison est le portail collectif, Mes Missions le portail personnel et de gestion. Tous deux consomment le même moteur. Le dashboard tablette agrège les missions des trois personnes ; il n’existe pas de quatrième liste spéciale tablette à recopier dans les téléphones.</w:t>
      </w:r>
    </w:p>
    <w:p>
      <w:r>
        <w:t>Hors périmètre : gestion médicale, notes scolaires, publication de localisation, enregistrement vidéo, migration des mémoires personnelles, intégrations domotiques non autorisées. Les raccourcis Agenda, courses et Home Assistant ne prouvent pas une synchronisation native de ces services. Le portail ne dépend pas de Claude ou ChatGPT pour son utilisation quotidienne.</w:t>
      </w:r>
    </w:p>
    <w:p>
      <w:pPr>
        <w:pStyle w:val="Heading1"/>
      </w:pPr>
      <w:r>
        <w:t>2 Acteurs comptes et autorisations</w:t>
      </w:r>
    </w:p>
    <w:p>
      <w:r>
        <w:t>Chaque personne utilise un compte nominatif sur son téléphone. La tablette utilise une identité d’appareil obtenue par association, distincte d’un parent connecté. Lier explicitement les personnes aux comptes dans la configuration. Un nom, un email, une illustration ou un thème ne donne jamais un droit.</w:t>
      </w:r>
    </w:p>
    <w:tbl>
      <w:tblPr>
        <w:tblStyle w:val="LightShading-Accent1"/>
        <w:tblW w:type="auto" w:w="0"/>
        <w:tblLook w:firstColumn="1" w:firstRow="1" w:lastColumn="0" w:lastRow="0" w:noHBand="0" w:noVBand="1" w:val="04A0"/>
      </w:tblPr>
      <w:tblGrid>
        <w:gridCol w:w="2438"/>
        <w:gridCol w:w="2438"/>
        <w:gridCol w:w="2438"/>
        <w:gridCol w:w="2438"/>
      </w:tblGrid>
      <w:tr>
        <w:trPr>
          <w:cantSplit/>
          <w:tblHeader/>
        </w:trPr>
        <w:tc>
          <w:tcPr>
            <w:tcW w:type="dxa" w:w="2438"/>
          </w:tcPr>
          <w:p>
            <w:pPr>
              <w:spacing w:after="80" w:before="80"/>
            </w:pPr>
            <w:r>
              <w:rPr>
                <w:sz w:val="17"/>
              </w:rPr>
              <w:t>Capacité</w:t>
            </w:r>
          </w:p>
        </w:tc>
        <w:tc>
          <w:tcPr>
            <w:tcW w:type="dxa" w:w="2438"/>
          </w:tcPr>
          <w:p>
            <w:pPr>
              <w:spacing w:after="80" w:before="80"/>
            </w:pPr>
            <w:r>
              <w:rPr>
                <w:sz w:val="17"/>
              </w:rPr>
              <w:t>Parent autorisé</w:t>
            </w:r>
          </w:p>
        </w:tc>
        <w:tc>
          <w:tcPr>
            <w:tcW w:type="dxa" w:w="2438"/>
          </w:tcPr>
          <w:p>
            <w:pPr>
              <w:spacing w:after="80" w:before="80"/>
            </w:pPr>
            <w:r>
              <w:rPr>
                <w:sz w:val="17"/>
              </w:rPr>
              <w:t>Compte enfant</w:t>
            </w:r>
          </w:p>
        </w:tc>
        <w:tc>
          <w:tcPr>
            <w:tcW w:type="dxa" w:w="2438"/>
          </w:tcPr>
          <w:p>
            <w:pPr>
              <w:spacing w:after="80" w:before="80"/>
            </w:pPr>
            <w:r>
              <w:rPr>
                <w:sz w:val="17"/>
              </w:rPr>
              <w:t>Appareil familial associé</w:t>
            </w:r>
          </w:p>
        </w:tc>
      </w:tr>
      <w:tr>
        <w:trPr>
          <w:cantSplit/>
        </w:trPr>
        <w:tc>
          <w:tcPr>
            <w:tcW w:type="dxa" w:w="2438"/>
          </w:tcPr>
          <w:p>
            <w:pPr>
              <w:spacing w:after="80" w:before="80"/>
            </w:pPr>
            <w:r>
              <w:rPr>
                <w:sz w:val="17"/>
              </w:rPr>
              <w:t>Voir missions</w:t>
            </w:r>
          </w:p>
        </w:tc>
        <w:tc>
          <w:tcPr>
            <w:tcW w:type="dxa" w:w="2438"/>
          </w:tcPr>
          <w:p>
            <w:pPr>
              <w:spacing w:after="80" w:before="80"/>
            </w:pPr>
            <w:r>
              <w:rPr>
                <w:sz w:val="17"/>
              </w:rPr>
              <w:t>Périmètre serveur accordé</w:t>
            </w:r>
          </w:p>
        </w:tc>
        <w:tc>
          <w:tcPr>
            <w:tcW w:type="dxa" w:w="2438"/>
          </w:tcPr>
          <w:p>
            <w:pPr>
              <w:spacing w:after="80" w:before="80"/>
            </w:pPr>
            <w:r>
              <w:rPr>
                <w:sz w:val="17"/>
              </w:rPr>
              <w:t>Annabelle selon moteur existant</w:t>
            </w:r>
          </w:p>
        </w:tc>
        <w:tc>
          <w:tcPr>
            <w:tcW w:type="dxa" w:w="2438"/>
          </w:tcPr>
          <w:p>
            <w:pPr>
              <w:spacing w:after="80" w:before="80"/>
            </w:pPr>
            <w:r>
              <w:rPr>
                <w:sz w:val="17"/>
              </w:rPr>
              <w:t>Une personne ou les trois selon association</w:t>
            </w:r>
          </w:p>
        </w:tc>
      </w:tr>
      <w:tr>
        <w:trPr>
          <w:cantSplit/>
        </w:trPr>
        <w:tc>
          <w:tcPr>
            <w:tcW w:type="dxa" w:w="2438"/>
          </w:tcPr>
          <w:p>
            <w:pPr>
              <w:spacing w:after="80" w:before="80"/>
            </w:pPr>
            <w:r>
              <w:rPr>
                <w:sz w:val="17"/>
              </w:rPr>
              <w:t>Cocher étapes et réaliser</w:t>
            </w:r>
          </w:p>
        </w:tc>
        <w:tc>
          <w:tcPr>
            <w:tcW w:type="dxa" w:w="2438"/>
          </w:tcPr>
          <w:p>
            <w:pPr>
              <w:spacing w:after="80" w:before="80"/>
            </w:pPr>
            <w:r>
              <w:rPr>
                <w:sz w:val="17"/>
              </w:rPr>
              <w:t>Si autorisé</w:t>
            </w:r>
          </w:p>
        </w:tc>
        <w:tc>
          <w:tcPr>
            <w:tcW w:type="dxa" w:w="2438"/>
          </w:tcPr>
          <w:p>
            <w:pPr>
              <w:spacing w:after="80" w:before="80"/>
            </w:pPr>
            <w:r>
              <w:rPr>
                <w:sz w:val="17"/>
              </w:rPr>
              <w:t>Dans son périmètre</w:t>
            </w:r>
          </w:p>
        </w:tc>
        <w:tc>
          <w:tcPr>
            <w:tcW w:type="dxa" w:w="2438"/>
          </w:tcPr>
          <w:p>
            <w:pPr>
              <w:spacing w:after="80" w:before="80"/>
            </w:pPr>
            <w:r>
              <w:rPr>
                <w:sz w:val="17"/>
              </w:rPr>
              <w:t>Dans le périmètre de validation accordé</w:t>
            </w:r>
          </w:p>
        </w:tc>
      </w:tr>
      <w:tr>
        <w:trPr>
          <w:cantSplit/>
        </w:trPr>
        <w:tc>
          <w:tcPr>
            <w:tcW w:type="dxa" w:w="2438"/>
          </w:tcPr>
          <w:p>
            <w:pPr>
              <w:spacing w:after="80" w:before="80"/>
            </w:pPr>
            <w:r>
              <w:rPr>
                <w:sz w:val="17"/>
              </w:rPr>
              <w:t>Créer et modifier</w:t>
            </w:r>
          </w:p>
        </w:tc>
        <w:tc>
          <w:tcPr>
            <w:tcW w:type="dxa" w:w="2438"/>
          </w:tcPr>
          <w:p>
            <w:pPr>
              <w:spacing w:after="80" w:before="80"/>
            </w:pPr>
            <w:r>
              <w:rPr>
                <w:sz w:val="17"/>
              </w:rPr>
              <w:t>Pour les personnes autorisées</w:t>
            </w:r>
          </w:p>
        </w:tc>
        <w:tc>
          <w:tcPr>
            <w:tcW w:type="dxa" w:w="2438"/>
          </w:tcPr>
          <w:p>
            <w:pPr>
              <w:spacing w:after="80" w:before="80"/>
            </w:pPr>
            <w:r>
              <w:rPr>
                <w:sz w:val="17"/>
              </w:rPr>
              <w:t>Seulement capacités de son périmètre</w:t>
            </w:r>
          </w:p>
        </w:tc>
        <w:tc>
          <w:tcPr>
            <w:tcW w:type="dxa" w:w="2438"/>
          </w:tcPr>
          <w:p>
            <w:pPr>
              <w:spacing w:after="80" w:before="80"/>
            </w:pPr>
            <w:r>
              <w:rPr>
                <w:sz w:val="17"/>
              </w:rPr>
              <w:t>Après déverrouillage parent pour administration</w:t>
            </w:r>
          </w:p>
        </w:tc>
      </w:tr>
      <w:tr>
        <w:trPr>
          <w:cantSplit/>
        </w:trPr>
        <w:tc>
          <w:tcPr>
            <w:tcW w:type="dxa" w:w="2438"/>
          </w:tcPr>
          <w:p>
            <w:pPr>
              <w:spacing w:after="80" w:before="80"/>
            </w:pPr>
            <w:r>
              <w:rPr>
                <w:sz w:val="17"/>
              </w:rPr>
              <w:t>Configurer le portail</w:t>
            </w:r>
          </w:p>
        </w:tc>
        <w:tc>
          <w:tcPr>
            <w:tcW w:type="dxa" w:w="2438"/>
          </w:tcPr>
          <w:p>
            <w:pPr>
              <w:spacing w:after="80" w:before="80"/>
            </w:pPr>
            <w:r>
              <w:rPr>
                <w:sz w:val="17"/>
              </w:rPr>
              <w:t>Parent administrateur du foyer</w:t>
            </w:r>
          </w:p>
        </w:tc>
        <w:tc>
          <w:tcPr>
            <w:tcW w:type="dxa" w:w="2438"/>
          </w:tcPr>
          <w:p>
            <w:pPr>
              <w:spacing w:after="80" w:before="80"/>
            </w:pPr>
            <w:r>
              <w:rPr>
                <w:sz w:val="17"/>
              </w:rPr>
              <w:t>Non implicite</w:t>
            </w:r>
          </w:p>
        </w:tc>
        <w:tc>
          <w:tcPr>
            <w:tcW w:type="dxa" w:w="2438"/>
          </w:tcPr>
          <w:p>
            <w:pPr>
              <w:spacing w:after="80" w:before="80"/>
            </w:pPr>
            <w:r>
              <w:rPr>
                <w:sz w:val="17"/>
              </w:rPr>
              <w:t>Session parent temporaire requise</w:t>
            </w:r>
          </w:p>
        </w:tc>
      </w:tr>
      <w:tr>
        <w:trPr>
          <w:cantSplit/>
        </w:trPr>
        <w:tc>
          <w:tcPr>
            <w:tcW w:type="dxa" w:w="2438"/>
          </w:tcPr>
          <w:p>
            <w:pPr>
              <w:spacing w:after="80" w:before="80"/>
            </w:pPr>
            <w:r>
              <w:rPr>
                <w:sz w:val="17"/>
              </w:rPr>
              <w:t>Gérer codes et révocations</w:t>
            </w:r>
          </w:p>
        </w:tc>
        <w:tc>
          <w:tcPr>
            <w:tcW w:type="dxa" w:w="2438"/>
          </w:tcPr>
          <w:p>
            <w:pPr>
              <w:spacing w:after="80" w:before="80"/>
            </w:pPr>
            <w:r>
              <w:rPr>
                <w:sz w:val="17"/>
              </w:rPr>
              <w:t>Compte autorisé</w:t>
            </w:r>
          </w:p>
        </w:tc>
        <w:tc>
          <w:tcPr>
            <w:tcW w:type="dxa" w:w="2438"/>
          </w:tcPr>
          <w:p>
            <w:pPr>
              <w:spacing w:after="80" w:before="80"/>
            </w:pPr>
            <w:r>
              <w:rPr>
                <w:sz w:val="17"/>
              </w:rPr>
              <w:t>Selon serveur, jamais présumé</w:t>
            </w:r>
          </w:p>
        </w:tc>
        <w:tc>
          <w:tcPr>
            <w:tcW w:type="dxa" w:w="2438"/>
          </w:tcPr>
          <w:p>
            <w:pPr>
              <w:spacing w:after="80" w:before="80"/>
            </w:pPr>
            <w:r>
              <w:rPr>
                <w:sz w:val="17"/>
              </w:rPr>
              <w:t>Non avec le seul jeton appareil</w:t>
            </w:r>
          </w:p>
        </w:tc>
      </w:tr>
      <w:tr>
        <w:trPr>
          <w:cantSplit/>
        </w:trPr>
        <w:tc>
          <w:tcPr>
            <w:tcW w:type="dxa" w:w="2438"/>
          </w:tcPr>
          <w:p>
            <w:pPr>
              <w:spacing w:after="80" w:before="80"/>
            </w:pPr>
            <w:r>
              <w:rPr>
                <w:sz w:val="17"/>
              </w:rPr>
              <w:t>Notifications Push nominatives</w:t>
            </w:r>
          </w:p>
        </w:tc>
        <w:tc>
          <w:tcPr>
            <w:tcW w:type="dxa" w:w="2438"/>
          </w:tcPr>
          <w:p>
            <w:pPr>
              <w:spacing w:after="80" w:before="80"/>
            </w:pPr>
            <w:r>
              <w:rPr>
                <w:sz w:val="17"/>
              </w:rPr>
              <w:t>Compte et appareil abonnés</w:t>
            </w:r>
          </w:p>
        </w:tc>
        <w:tc>
          <w:tcPr>
            <w:tcW w:type="dxa" w:w="2438"/>
          </w:tcPr>
          <w:p>
            <w:pPr>
              <w:spacing w:after="80" w:before="80"/>
            </w:pPr>
            <w:r>
              <w:rPr>
                <w:sz w:val="17"/>
              </w:rPr>
              <w:t>Compte et appareil abonnés</w:t>
            </w:r>
          </w:p>
        </w:tc>
        <w:tc>
          <w:tcPr>
            <w:tcW w:type="dxa" w:w="2438"/>
          </w:tcPr>
          <w:p>
            <w:pPr>
              <w:spacing w:after="80" w:before="80"/>
            </w:pPr>
            <w:r>
              <w:rPr>
                <w:sz w:val="17"/>
              </w:rPr>
              <w:t>Code seul insuffisant</w:t>
            </w:r>
          </w:p>
        </w:tc>
      </w:tr>
      <w:tr>
        <w:trPr>
          <w:cantSplit/>
        </w:trPr>
        <w:tc>
          <w:tcPr>
            <w:tcW w:type="dxa" w:w="2438"/>
          </w:tcPr>
          <w:p>
            <w:pPr>
              <w:spacing w:after="80" w:before="80"/>
            </w:pPr>
            <w:r>
              <w:rPr>
                <w:sz w:val="17"/>
              </w:rPr>
              <w:t>Caméra et raccourcis</w:t>
            </w:r>
          </w:p>
        </w:tc>
        <w:tc>
          <w:tcPr>
            <w:tcW w:type="dxa" w:w="2438"/>
          </w:tcPr>
          <w:p>
            <w:pPr>
              <w:spacing w:after="80" w:before="80"/>
            </w:pPr>
            <w:r>
              <w:rPr>
                <w:sz w:val="17"/>
              </w:rPr>
              <w:t>Droits secondaires</w:t>
            </w:r>
          </w:p>
        </w:tc>
        <w:tc>
          <w:tcPr>
            <w:tcW w:type="dxa" w:w="2438"/>
          </w:tcPr>
          <w:p>
            <w:pPr>
              <w:spacing w:after="80" w:before="80"/>
            </w:pPr>
            <w:r>
              <w:rPr>
                <w:sz w:val="17"/>
              </w:rPr>
              <w:t>Non implicites</w:t>
            </w:r>
          </w:p>
        </w:tc>
        <w:tc>
          <w:tcPr>
            <w:tcW w:type="dxa" w:w="2438"/>
          </w:tcPr>
          <w:p>
            <w:pPr>
              <w:spacing w:after="80" w:before="80"/>
            </w:pPr>
            <w:r>
              <w:rPr>
                <w:sz w:val="17"/>
              </w:rPr>
              <w:t>Option explicite de l’association familiale</w:t>
            </w:r>
          </w:p>
        </w:tc>
      </w:tr>
    </w:tbl>
    <w:p/>
    <w:p>
      <w:r>
        <w:t>La matrice fine participant/lecteur/gestionnaire décrite dans V1.1 reste une cible à contrôler : ne pas supposer tous ces rôles configurables dans le code actuel. Les contrôles API prévalent sur l’interface. L’acteur qui coche et la personne responsable sont distincts ; une action sur tablette ne permet pas d’inventer le nom de l’humain devant l’écran.</w:t>
      </w:r>
    </w:p>
    <w:p>
      <w:pPr>
        <w:pStyle w:val="Heading1"/>
      </w:pPr>
      <w:r>
        <w:t>3 Concepts et modèle fonctionnel</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after="80" w:before="80"/>
            </w:pPr>
            <w:r>
              <w:rPr>
                <w:sz w:val="17"/>
              </w:rPr>
              <w:t>Concept</w:t>
            </w:r>
          </w:p>
        </w:tc>
        <w:tc>
          <w:tcPr>
            <w:tcW w:type="dxa" w:w="3251"/>
          </w:tcPr>
          <w:p>
            <w:pPr>
              <w:spacing w:after="80" w:before="80"/>
            </w:pPr>
            <w:r>
              <w:rPr>
                <w:sz w:val="17"/>
              </w:rPr>
              <w:t>Définition</w:t>
            </w:r>
          </w:p>
        </w:tc>
        <w:tc>
          <w:tcPr>
            <w:tcW w:type="dxa" w:w="3251"/>
          </w:tcPr>
          <w:p>
            <w:pPr>
              <w:spacing w:after="80" w:before="80"/>
            </w:pPr>
            <w:r>
              <w:rPr>
                <w:sz w:val="17"/>
              </w:rPr>
              <w:t>Exemple</w:t>
            </w:r>
          </w:p>
        </w:tc>
      </w:tr>
      <w:tr>
        <w:trPr>
          <w:cantSplit/>
        </w:trPr>
        <w:tc>
          <w:tcPr>
            <w:tcW w:type="dxa" w:w="3251"/>
          </w:tcPr>
          <w:p>
            <w:pPr>
              <w:spacing w:after="80" w:before="80"/>
            </w:pPr>
            <w:r>
              <w:rPr>
                <w:sz w:val="17"/>
              </w:rPr>
              <w:t>Foyer</w:t>
            </w:r>
          </w:p>
        </w:tc>
        <w:tc>
          <w:tcPr>
            <w:tcW w:type="dxa" w:w="3251"/>
          </w:tcPr>
          <w:p>
            <w:pPr>
              <w:spacing w:after="80" w:before="80"/>
            </w:pPr>
            <w:r>
              <w:rPr>
                <w:sz w:val="17"/>
              </w:rPr>
              <w:t>Périmètre partagé et configuration commune</w:t>
            </w:r>
          </w:p>
        </w:tc>
        <w:tc>
          <w:tcPr>
            <w:tcW w:type="dxa" w:w="3251"/>
          </w:tcPr>
          <w:p>
            <w:pPr>
              <w:spacing w:after="80" w:before="80"/>
            </w:pPr>
            <w:r>
              <w:rPr>
                <w:sz w:val="17"/>
              </w:rPr>
              <w:t>Les trois personnes du portail</w:t>
            </w:r>
          </w:p>
        </w:tc>
      </w:tr>
      <w:tr>
        <w:trPr>
          <w:cantSplit/>
        </w:trPr>
        <w:tc>
          <w:tcPr>
            <w:tcW w:type="dxa" w:w="3251"/>
          </w:tcPr>
          <w:p>
            <w:pPr>
              <w:spacing w:after="80" w:before="80"/>
            </w:pPr>
            <w:r>
              <w:rPr>
                <w:sz w:val="17"/>
              </w:rPr>
              <w:t>Personne</w:t>
            </w:r>
          </w:p>
        </w:tc>
        <w:tc>
          <w:tcPr>
            <w:tcW w:type="dxa" w:w="3251"/>
          </w:tcPr>
          <w:p>
            <w:pPr>
              <w:spacing w:after="80" w:before="80"/>
            </w:pPr>
            <w:r>
              <w:rPr>
                <w:sz w:val="17"/>
              </w:rPr>
              <w:t>Responsable d’une mission et de ses statistiques</w:t>
            </w:r>
          </w:p>
        </w:tc>
        <w:tc>
          <w:tcPr>
            <w:tcW w:type="dxa" w:w="3251"/>
          </w:tcPr>
          <w:p>
            <w:pPr>
              <w:spacing w:after="80" w:before="80"/>
            </w:pPr>
            <w:r>
              <w:rPr>
                <w:sz w:val="17"/>
              </w:rPr>
              <w:t>Annabelle</w:t>
            </w:r>
          </w:p>
        </w:tc>
      </w:tr>
      <w:tr>
        <w:trPr>
          <w:cantSplit/>
        </w:trPr>
        <w:tc>
          <w:tcPr>
            <w:tcW w:type="dxa" w:w="3251"/>
          </w:tcPr>
          <w:p>
            <w:pPr>
              <w:spacing w:after="80" w:before="80"/>
            </w:pPr>
            <w:r>
              <w:rPr>
                <w:sz w:val="17"/>
              </w:rPr>
              <w:t>Groupe</w:t>
            </w:r>
          </w:p>
        </w:tc>
        <w:tc>
          <w:tcPr>
            <w:tcW w:type="dxa" w:w="3251"/>
          </w:tcPr>
          <w:p>
            <w:pPr>
              <w:spacing w:after="80" w:before="80"/>
            </w:pPr>
            <w:r>
              <w:rPr>
                <w:sz w:val="17"/>
              </w:rPr>
              <w:t>Catégorie de présentation de plusieurs missions</w:t>
            </w:r>
          </w:p>
        </w:tc>
        <w:tc>
          <w:tcPr>
            <w:tcW w:type="dxa" w:w="3251"/>
          </w:tcPr>
          <w:p>
            <w:pPr>
              <w:spacing w:after="80" w:before="80"/>
            </w:pPr>
            <w:r>
              <w:rPr>
                <w:sz w:val="17"/>
              </w:rPr>
              <w:t>Maison</w:t>
            </w:r>
          </w:p>
        </w:tc>
      </w:tr>
      <w:tr>
        <w:trPr>
          <w:cantSplit/>
        </w:trPr>
        <w:tc>
          <w:tcPr>
            <w:tcW w:type="dxa" w:w="3251"/>
          </w:tcPr>
          <w:p>
            <w:pPr>
              <w:spacing w:after="80" w:before="80"/>
            </w:pPr>
            <w:r>
              <w:rPr>
                <w:sz w:val="17"/>
              </w:rPr>
              <w:t>Définition de mission</w:t>
            </w:r>
          </w:p>
        </w:tc>
        <w:tc>
          <w:tcPr>
            <w:tcW w:type="dxa" w:w="3251"/>
          </w:tcPr>
          <w:p>
            <w:pPr>
              <w:spacing w:after="80" w:before="80"/>
            </w:pPr>
            <w:r>
              <w:rPr>
                <w:sz w:val="17"/>
              </w:rPr>
              <w:t>Modèle avec titre, responsable, planification, rappels, étapes et présentation</w:t>
            </w:r>
          </w:p>
        </w:tc>
        <w:tc>
          <w:tcPr>
            <w:tcW w:type="dxa" w:w="3251"/>
          </w:tcPr>
          <w:p>
            <w:pPr>
              <w:spacing w:after="80" w:before="80"/>
            </w:pPr>
            <w:r>
              <w:rPr>
                <w:sz w:val="17"/>
              </w:rPr>
              <w:t>Ranger ma chambre chaque jour</w:t>
            </w:r>
          </w:p>
        </w:tc>
      </w:tr>
      <w:tr>
        <w:trPr>
          <w:cantSplit/>
        </w:trPr>
        <w:tc>
          <w:tcPr>
            <w:tcW w:type="dxa" w:w="3251"/>
          </w:tcPr>
          <w:p>
            <w:pPr>
              <w:spacing w:after="80" w:before="80"/>
            </w:pPr>
            <w:r>
              <w:rPr>
                <w:sz w:val="17"/>
              </w:rPr>
              <w:t>Occurrence</w:t>
            </w:r>
          </w:p>
        </w:tc>
        <w:tc>
          <w:tcPr>
            <w:tcW w:type="dxa" w:w="3251"/>
          </w:tcPr>
          <w:p>
            <w:pPr>
              <w:spacing w:after="80" w:before="80"/>
            </w:pPr>
            <w:r>
              <w:rPr>
                <w:sz w:val="17"/>
              </w:rPr>
              <w:t>Une réalisation attendue à une date, avec progression propre</w:t>
            </w:r>
          </w:p>
        </w:tc>
        <w:tc>
          <w:tcPr>
            <w:tcW w:type="dxa" w:w="3251"/>
          </w:tcPr>
          <w:p>
            <w:pPr>
              <w:spacing w:after="80" w:before="80"/>
            </w:pPr>
            <w:r>
              <w:rPr>
                <w:sz w:val="17"/>
              </w:rPr>
              <w:t>Ranger ma chambre du 29/10</w:t>
            </w:r>
          </w:p>
        </w:tc>
      </w:tr>
      <w:tr>
        <w:trPr>
          <w:cantSplit/>
        </w:trPr>
        <w:tc>
          <w:tcPr>
            <w:tcW w:type="dxa" w:w="3251"/>
          </w:tcPr>
          <w:p>
            <w:pPr>
              <w:spacing w:after="80" w:before="80"/>
            </w:pPr>
            <w:r>
              <w:rPr>
                <w:sz w:val="17"/>
              </w:rPr>
              <w:t>Étape</w:t>
            </w:r>
          </w:p>
        </w:tc>
        <w:tc>
          <w:tcPr>
            <w:tcW w:type="dxa" w:w="3251"/>
          </w:tcPr>
          <w:p>
            <w:pPr>
              <w:spacing w:after="80" w:before="80"/>
            </w:pPr>
            <w:r>
              <w:rPr>
                <w:sz w:val="17"/>
              </w:rPr>
              <w:t>Instruction détaillée cochable dans une occurrence</w:t>
            </w:r>
          </w:p>
        </w:tc>
        <w:tc>
          <w:tcPr>
            <w:tcW w:type="dxa" w:w="3251"/>
          </w:tcPr>
          <w:p>
            <w:pPr>
              <w:spacing w:after="80" w:before="80"/>
            </w:pPr>
            <w:r>
              <w:rPr>
                <w:sz w:val="17"/>
              </w:rPr>
              <w:t>Faire le lit</w:t>
            </w:r>
          </w:p>
        </w:tc>
      </w:tr>
      <w:tr>
        <w:trPr>
          <w:cantSplit/>
        </w:trPr>
        <w:tc>
          <w:tcPr>
            <w:tcW w:type="dxa" w:w="3251"/>
          </w:tcPr>
          <w:p>
            <w:pPr>
              <w:spacing w:after="80" w:before="80"/>
            </w:pPr>
            <w:r>
              <w:rPr>
                <w:sz w:val="17"/>
              </w:rPr>
              <w:t>Événement</w:t>
            </w:r>
          </w:p>
        </w:tc>
        <w:tc>
          <w:tcPr>
            <w:tcW w:type="dxa" w:w="3251"/>
          </w:tcPr>
          <w:p>
            <w:pPr>
              <w:spacing w:after="80" w:before="80"/>
            </w:pPr>
            <w:r>
              <w:rPr>
                <w:sz w:val="17"/>
              </w:rPr>
              <w:t>Action tracée et datée</w:t>
            </w:r>
          </w:p>
        </w:tc>
        <w:tc>
          <w:tcPr>
            <w:tcW w:type="dxa" w:w="3251"/>
          </w:tcPr>
          <w:p>
            <w:pPr>
              <w:spacing w:after="80" w:before="80"/>
            </w:pPr>
            <w:r>
              <w:rPr>
                <w:sz w:val="17"/>
              </w:rPr>
              <w:t>Cocher, terminer, reporter, sauter, corriger</w:t>
            </w:r>
          </w:p>
        </w:tc>
      </w:tr>
      <w:tr>
        <w:trPr>
          <w:cantSplit/>
        </w:trPr>
        <w:tc>
          <w:tcPr>
            <w:tcW w:type="dxa" w:w="3251"/>
          </w:tcPr>
          <w:p>
            <w:pPr>
              <w:spacing w:after="80" w:before="80"/>
            </w:pPr>
            <w:r>
              <w:rPr>
                <w:sz w:val="17"/>
              </w:rPr>
              <w:t>Association appareil</w:t>
            </w:r>
          </w:p>
        </w:tc>
        <w:tc>
          <w:tcPr>
            <w:tcW w:type="dxa" w:w="3251"/>
          </w:tcPr>
          <w:p>
            <w:pPr>
              <w:spacing w:after="80" w:before="80"/>
            </w:pPr>
            <w:r>
              <w:rPr>
                <w:sz w:val="17"/>
              </w:rPr>
              <w:t>Autorisation révocable d’un navigateur/tablette</w:t>
            </w:r>
          </w:p>
        </w:tc>
        <w:tc>
          <w:tcPr>
            <w:tcW w:type="dxa" w:w="3251"/>
          </w:tcPr>
          <w:p>
            <w:pPr>
              <w:spacing w:after="80" w:before="80"/>
            </w:pPr>
            <w:r>
              <w:rPr>
                <w:sz w:val="17"/>
              </w:rPr>
              <w:t>Tablette familiale</w:t>
            </w:r>
          </w:p>
        </w:tc>
      </w:tr>
    </w:tbl>
    <w:p/>
    <w:p>
      <w:r>
        <w:t>Une liste ancienne peut devenir UNE mission et ses éléments deviennent des étapes. Les catégories ne sont pas des réalisations et les étapes ne gonflent pas le compteur de missions. Une mission de 7 étapes terminée compte comme une mission réalisée, pas 7 missions indépendantes. Si une sous-action doit avoir une fréquence, une responsabilité ou une notification indépendante, en faire une mission séparée : l’heure indicative d’une étape n’en fait pas un mini-calendrier autonome.</w:t>
      </w:r>
    </w:p>
    <w:p>
      <w:pPr>
        <w:pStyle w:val="Heading1"/>
      </w:pPr>
      <w:r>
        <w:t>4 Parcours personnel et familial</w:t>
      </w:r>
    </w:p>
    <w:p>
      <w:pPr>
        <w:pStyle w:val="Heading2"/>
      </w:pPr>
      <w:r>
        <w:t>4.1 Aujourd’hui sur téléphone</w:t>
      </w:r>
    </w:p>
    <w:p>
      <w:r>
        <w:t>Page d’entrée centrée sur les missions de la personne autorisée. Cartes compactes : titre, échéance utile, statut et X/Y étapes. Retards avant missions courantes puis à venir. Les grandes images répétées et boutons administratifs ne prennent pas la place de l’action. Les thèmes choisis sont conservés comme personnalisation, sans imposer une longue carte illustrée à chaque micro-action.</w:t>
      </w:r>
    </w:p>
    <w:p>
      <w:pPr>
        <w:pStyle w:val="Heading2"/>
      </w:pPr>
      <w:r>
        <w:t>4.2 Gérer</w:t>
      </w:r>
    </w:p>
    <w:p>
      <w:r>
        <w:t>Toutes les définitions permises, y compris sans date ; création, édition, archivage, pause pour missions planifiées et bilan de reprise. Le regroupement simplifie la lecture sans fusionner des historiques incompatibles. Les outils d’accès appareils et sauvegardes restent disponibles dans un emplacement avancé, pas au centre du parcours quotidien.</w:t>
      </w:r>
    </w:p>
    <w:p>
      <w:pPr>
        <w:pStyle w:val="Heading2"/>
      </w:pPr>
      <w:r>
        <w:t>4.3 Réglages</w:t>
      </w:r>
    </w:p>
    <w:p>
      <w:r>
        <w:t>Profil, notifications, activation/test du son et préférences utiles. Les opérations rares ou sensibles sont regroupées dans Options du compte : anciennes listes partagées, apparence selon client, mot de passe, export, changement de compte et opérations destructrices explicitement nommées. Retirer les doublons d’entrée Mes missions/Ouvrir mes missions et le bouton de synchro permanent lorsque leur rôle est déjà assuré par la navigation et le statut réseau.</w:t>
      </w:r>
    </w:p>
    <w:p>
      <w:pPr>
        <w:pStyle w:val="Heading2"/>
      </w:pPr>
      <w:r>
        <w:t>4.4 Tableau familial</w:t>
      </w:r>
    </w:p>
    <w:p>
      <w:r>
        <w:t>Deux colonnes visibles sur tablette paysage, troisième accessible horizontalement ; défilements verticaux indépendants. Règles fixes, raccourcis par icônes et synthèses des trois personnes. Gestes de défilement sans coche accidentelle ; filtre/onglets limités aux droits effectifs. L’ordre Annabelle/Papa puis Papa/Maman reste configurable.</w:t>
      </w:r>
    </w:p>
    <w:p>
      <w:pPr>
        <w:pStyle w:val="Heading2"/>
      </w:pPr>
      <w:r>
        <w:t>4.5 Détail d’une mission</w:t>
      </w:r>
    </w:p>
    <w:p>
      <w:r>
        <w:t>Ouvrir montre au choix toute la checklist ou une étape à la fois. Une coche est envoyée au serveur ; progression synchronisée sur les autres appareils. Les détails ne créent pas une nouvelle mission. La dernière étape termine l’occurrence une seule fois. Une mission sans étapes dispose d’une validation directe. Une occurrence rouverte dont toutes les étapes restent cochées peut présenter une confirmation explicite de fin, contrôlée côté serveur.</w:t>
      </w:r>
    </w:p>
    <w:p>
      <w:pPr>
        <w:pStyle w:val="Heading2"/>
      </w:pPr>
      <w:r>
        <w:t>4.6 Administration sur la tablette</w:t>
      </w:r>
    </w:p>
    <w:p>
      <w:r>
        <w:t>Paramètres -&gt; authentification du parent autorisé du même foyer -&gt; Gérer les missions sur cette tablette ou Ajouter une mission. Conserver le jeton appareil ; utiliser une session parent non persistante. Terminer la gestion ou quitter l’application remet le verrou selon la logique livrée. Aucune obligation de reprendre le téléphone pour administrer une tablette déjà associée.</w:t>
      </w:r>
    </w:p>
    <w:p>
      <w:pPr>
        <w:pStyle w:val="Heading1"/>
      </w:pPr>
      <w:r>
        <w:t>5 Formulaire de création et d’édition</w:t>
      </w:r>
    </w:p>
    <w:p>
      <w:pPr>
        <w:pStyle w:val="Heading2"/>
      </w:pPr>
      <w:r>
        <w:t>5.1 Partie courte visible</w:t>
      </w:r>
    </w:p>
    <w:p>
      <w:r>
        <w:t>1. Quoi faire : titre obligatoire, au plus 500 caractères.</w:t>
      </w:r>
    </w:p>
    <w:p>
      <w:r>
        <w:t>2. Pour qui : personne parmi celles autorisées par le serveur.</w:t>
      </w:r>
    </w:p>
    <w:p>
      <w:r>
        <w:t>3. Quand : Sans date / Une fois / Certains jours / Après réalisation.</w:t>
      </w:r>
    </w:p>
    <w:p>
      <w:r>
        <w:t>4. Date et heure seulement si le mode le demande ; heure facultative pour une journée entière.</w:t>
      </w:r>
    </w:p>
    <w:p>
      <w:r>
        <w:t>5. Activer un rappel : option, jamais un effet de la simple présence d’une heure d’étape.</w:t>
      </w:r>
    </w:p>
    <w:p>
      <w:r>
        <w:t>6. Enregistrer, avec erreur lisible et conservation des champs en cas d’échec.</w:t>
      </w:r>
    </w:p>
    <w:p>
      <w:pPr>
        <w:pStyle w:val="Heading2"/>
      </w:pPr>
      <w:r>
        <w:t>5.2 Champs conditionnels</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after="80" w:before="80"/>
            </w:pPr>
            <w:r>
              <w:rPr>
                <w:sz w:val="17"/>
              </w:rPr>
              <w:t>Mode</w:t>
            </w:r>
          </w:p>
        </w:tc>
        <w:tc>
          <w:tcPr>
            <w:tcW w:type="dxa" w:w="3251"/>
          </w:tcPr>
          <w:p>
            <w:pPr>
              <w:spacing w:after="80" w:before="80"/>
            </w:pPr>
            <w:r>
              <w:rPr>
                <w:sz w:val="17"/>
              </w:rPr>
              <w:t>Champs</w:t>
            </w:r>
          </w:p>
        </w:tc>
        <w:tc>
          <w:tcPr>
            <w:tcW w:type="dxa" w:w="3251"/>
          </w:tcPr>
          <w:p>
            <w:pPr>
              <w:spacing w:after="80" w:before="80"/>
            </w:pPr>
            <w:r>
              <w:rPr>
                <w:sz w:val="17"/>
              </w:rPr>
              <w:t>Conséquence</w:t>
            </w:r>
          </w:p>
        </w:tc>
      </w:tr>
      <w:tr>
        <w:trPr>
          <w:cantSplit/>
        </w:trPr>
        <w:tc>
          <w:tcPr>
            <w:tcW w:type="dxa" w:w="3251"/>
          </w:tcPr>
          <w:p>
            <w:pPr>
              <w:spacing w:after="80" w:before="80"/>
            </w:pPr>
            <w:r>
              <w:rPr>
                <w:sz w:val="17"/>
              </w:rPr>
              <w:t>Sans date</w:t>
            </w:r>
          </w:p>
        </w:tc>
        <w:tc>
          <w:tcPr>
            <w:tcW w:type="dxa" w:w="3251"/>
          </w:tcPr>
          <w:p>
            <w:pPr>
              <w:spacing w:after="80" w:before="80"/>
            </w:pPr>
            <w:r>
              <w:rPr>
                <w:sz w:val="17"/>
              </w:rPr>
              <w:t>Aucun calendrier</w:t>
            </w:r>
          </w:p>
        </w:tc>
        <w:tc>
          <w:tcPr>
            <w:tcW w:type="dxa" w:w="3251"/>
          </w:tcPr>
          <w:p>
            <w:pPr>
              <w:spacing w:after="80" w:before="80"/>
            </w:pPr>
            <w:r>
              <w:rPr>
                <w:sz w:val="17"/>
              </w:rPr>
              <w:t>Pas d’occurrence datée, pas de rappel ; seulement Gérer</w:t>
            </w:r>
          </w:p>
        </w:tc>
      </w:tr>
      <w:tr>
        <w:trPr>
          <w:cantSplit/>
        </w:trPr>
        <w:tc>
          <w:tcPr>
            <w:tcW w:type="dxa" w:w="3251"/>
          </w:tcPr>
          <w:p>
            <w:pPr>
              <w:spacing w:after="80" w:before="80"/>
            </w:pPr>
            <w:r>
              <w:rPr>
                <w:sz w:val="17"/>
              </w:rPr>
              <w:t>Une fois</w:t>
            </w:r>
          </w:p>
        </w:tc>
        <w:tc>
          <w:tcPr>
            <w:tcW w:type="dxa" w:w="3251"/>
          </w:tcPr>
          <w:p>
            <w:pPr>
              <w:spacing w:after="80" w:before="80"/>
            </w:pPr>
            <w:r>
              <w:rPr>
                <w:sz w:val="17"/>
              </w:rPr>
              <w:t>Première date, heure facultative</w:t>
            </w:r>
          </w:p>
        </w:tc>
        <w:tc>
          <w:tcPr>
            <w:tcW w:type="dxa" w:w="3251"/>
          </w:tcPr>
          <w:p>
            <w:pPr>
              <w:spacing w:after="80" w:before="80"/>
            </w:pPr>
            <w:r>
              <w:rPr>
                <w:sz w:val="17"/>
              </w:rPr>
              <w:t>Une échéance</w:t>
            </w:r>
          </w:p>
        </w:tc>
      </w:tr>
      <w:tr>
        <w:trPr>
          <w:cantSplit/>
        </w:trPr>
        <w:tc>
          <w:tcPr>
            <w:tcW w:type="dxa" w:w="3251"/>
          </w:tcPr>
          <w:p>
            <w:pPr>
              <w:spacing w:after="80" w:before="80"/>
            </w:pPr>
            <w:r>
              <w:rPr>
                <w:sz w:val="17"/>
              </w:rPr>
              <w:t>Certains jours</w:t>
            </w:r>
          </w:p>
        </w:tc>
        <w:tc>
          <w:tcPr>
            <w:tcW w:type="dxa" w:w="3251"/>
          </w:tcPr>
          <w:p>
            <w:pPr>
              <w:spacing w:after="80" w:before="80"/>
            </w:pPr>
            <w:r>
              <w:rPr>
                <w:sz w:val="17"/>
              </w:rPr>
              <w:t>Première date, jours cochés, heure facultative</w:t>
            </w:r>
          </w:p>
        </w:tc>
        <w:tc>
          <w:tcPr>
            <w:tcW w:type="dxa" w:w="3251"/>
          </w:tcPr>
          <w:p>
            <w:pPr>
              <w:spacing w:after="80" w:before="80"/>
            </w:pPr>
            <w:r>
              <w:rPr>
                <w:sz w:val="17"/>
              </w:rPr>
              <w:t>Calendrier fixe</w:t>
            </w:r>
          </w:p>
        </w:tc>
      </w:tr>
      <w:tr>
        <w:trPr>
          <w:cantSplit/>
        </w:trPr>
        <w:tc>
          <w:tcPr>
            <w:tcW w:type="dxa" w:w="3251"/>
          </w:tcPr>
          <w:p>
            <w:pPr>
              <w:spacing w:after="80" w:before="80"/>
            </w:pPr>
            <w:r>
              <w:rPr>
                <w:sz w:val="17"/>
              </w:rPr>
              <w:t>Après réalisation</w:t>
            </w:r>
          </w:p>
        </w:tc>
        <w:tc>
          <w:tcPr>
            <w:tcW w:type="dxa" w:w="3251"/>
          </w:tcPr>
          <w:p>
            <w:pPr>
              <w:spacing w:after="80" w:before="80"/>
            </w:pPr>
            <w:r>
              <w:rPr>
                <w:sz w:val="17"/>
              </w:rPr>
              <w:t>Première date fiable, fréquence et unité</w:t>
            </w:r>
          </w:p>
        </w:tc>
        <w:tc>
          <w:tcPr>
            <w:tcW w:type="dxa" w:w="3251"/>
          </w:tcPr>
          <w:p>
            <w:pPr>
              <w:spacing w:after="80" w:before="80"/>
            </w:pPr>
            <w:r>
              <w:rPr>
                <w:sz w:val="17"/>
              </w:rPr>
              <w:t>Prochaine échéance calculée depuis la réalisation</w:t>
            </w:r>
          </w:p>
        </w:tc>
      </w:tr>
    </w:tbl>
    <w:p/>
    <w:p>
      <w:r>
        <w:t>La première échéance n’est pas déduite d’une ancienne coche sans date fiable. L’intervalle du builder livré accepte des entiers de 1 à 365 ; la validation serveur reste nécessaire. Un mode fixe sans jour sélectionné est refusé. Les libellés doivent distinguer jours civils et durées en heures, notamment aux changements de saison.</w:t>
      </w:r>
    </w:p>
    <w:p>
      <w:pPr>
        <w:pStyle w:val="Heading2"/>
      </w:pPr>
      <w:r>
        <w:t>5.3 Étapes et options avancées</w:t>
      </w:r>
    </w:p>
    <w:p>
      <w:r>
        <w:t xml:space="preserve">Étapes : une ligne par instruction, </w:t>
      </w:r>
      <w:r>
        <w:rPr>
          <w:rFonts w:ascii="Consolas" w:hAnsi="Consolas"/>
          <w:sz w:val="18"/>
        </w:rPr>
        <w:t>HH:MM Texte</w:t>
      </w:r>
      <w:r>
        <w:t xml:space="preserve"> facultatif. Maximum 300, titre 500 caractères, ID unique stable de 100 caractères au plus, heure valide 00:00–23:59. Garder les IDs lors d’édition autant que possible pour ne pas déplacer les coches. Les options avancées contiennent groupe, icône/thème selon client, fenêtre/période, heure de rappel distincte et relances. Un champ masqué n’efface pas la valeur existante.</w:t>
      </w:r>
    </w:p>
    <w:p>
      <w:r>
        <w:t>Exemple de saisie : « Ranger ma chambre », Annabelle, Certains jours, lundi à vendredi ; étapes Faire le lit / Ranger la table de nuit / Ranger le bureau / Ranger les fauteuils / Ranger la coiffeuse. Pour « Direction le poney », conserver les sept instructions détaillées et leurs horaires indicatifs ; le jour de la séance doit être configuré séparément. Ne pas inférer le jour du poney depuis les captures.</w:t>
      </w:r>
    </w:p>
    <w:p>
      <w:r>
        <w:t>L’édition du texte ou des détails ne réinitialise pas le calendrier. Remplacer le calendrier est une opération identifiée par comparaison normalisée des champs temporels. Ne pas réécrire les réalisations passées pour refléter un titre ou responsable nouveau.</w:t>
      </w:r>
    </w:p>
    <w:p>
      <w:pPr>
        <w:pStyle w:val="Heading1"/>
      </w:pPr>
      <w:r>
        <w:t>6 Règles temporelles consolidées</w:t>
      </w:r>
    </w:p>
    <w:p>
      <w:r>
        <w:t>La référence est Europe/Paris, avec heure serveur pour les réalisations. Les dates civiles ne sont pas des offsets UTC fixes. Conserver échéance initiale et échéance révisée afin qu’un report n’efface pas un retard statistique.</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after="80" w:before="80"/>
            </w:pPr>
            <w:r>
              <w:rPr>
                <w:sz w:val="17"/>
              </w:rPr>
              <w:t>Cas</w:t>
            </w:r>
          </w:p>
        </w:tc>
        <w:tc>
          <w:tcPr>
            <w:tcW w:type="dxa" w:w="3251"/>
          </w:tcPr>
          <w:p>
            <w:pPr>
              <w:spacing w:after="80" w:before="80"/>
            </w:pPr>
            <w:r>
              <w:rPr>
                <w:sz w:val="17"/>
              </w:rPr>
              <w:t>Apparition cible</w:t>
            </w:r>
          </w:p>
        </w:tc>
        <w:tc>
          <w:tcPr>
            <w:tcW w:type="dxa" w:w="3251"/>
          </w:tcPr>
          <w:p>
            <w:pPr>
              <w:spacing w:after="80" w:before="80"/>
            </w:pPr>
            <w:r>
              <w:rPr>
                <w:sz w:val="17"/>
              </w:rPr>
              <w:t>Fin de ponctualité</w:t>
            </w:r>
          </w:p>
        </w:tc>
      </w:tr>
      <w:tr>
        <w:trPr>
          <w:cantSplit/>
        </w:trPr>
        <w:tc>
          <w:tcPr>
            <w:tcW w:type="dxa" w:w="3251"/>
          </w:tcPr>
          <w:p>
            <w:pPr>
              <w:spacing w:after="80" w:before="80"/>
            </w:pPr>
            <w:r>
              <w:rPr>
                <w:sz w:val="17"/>
              </w:rPr>
              <w:t>Période matin/après-midi/soir</w:t>
            </w:r>
          </w:p>
        </w:tc>
        <w:tc>
          <w:tcPr>
            <w:tcW w:type="dxa" w:w="3251"/>
          </w:tcPr>
          <w:p>
            <w:pPr>
              <w:spacing w:after="80" w:before="80"/>
            </w:pPr>
            <w:r>
              <w:rPr>
                <w:sz w:val="17"/>
              </w:rPr>
              <w:t>4 h avant début, prioritaire sur fréquence</w:t>
            </w:r>
          </w:p>
        </w:tc>
        <w:tc>
          <w:tcPr>
            <w:tcW w:type="dxa" w:w="3251"/>
          </w:tcPr>
          <w:p>
            <w:pPr>
              <w:spacing w:after="80" w:before="80"/>
            </w:pPr>
            <w:r>
              <w:rPr>
                <w:sz w:val="17"/>
              </w:rPr>
              <w:t>Fin exclusive de la période</w:t>
            </w:r>
          </w:p>
        </w:tc>
      </w:tr>
      <w:tr>
        <w:trPr>
          <w:cantSplit/>
        </w:trPr>
        <w:tc>
          <w:tcPr>
            <w:tcW w:type="dxa" w:w="3251"/>
          </w:tcPr>
          <w:p>
            <w:pPr>
              <w:spacing w:after="80" w:before="80"/>
            </w:pPr>
            <w:r>
              <w:rPr>
                <w:sz w:val="17"/>
              </w:rPr>
              <w:t>Fréquence &gt;24 h</w:t>
            </w:r>
          </w:p>
        </w:tc>
        <w:tc>
          <w:tcPr>
            <w:tcW w:type="dxa" w:w="3251"/>
          </w:tcPr>
          <w:p>
            <w:pPr>
              <w:spacing w:after="80" w:before="80"/>
            </w:pPr>
            <w:r>
              <w:rPr>
                <w:sz w:val="17"/>
              </w:rPr>
              <w:t>5 jours civils avant</w:t>
            </w:r>
          </w:p>
        </w:tc>
        <w:tc>
          <w:tcPr>
            <w:tcW w:type="dxa" w:w="3251"/>
          </w:tcPr>
          <w:p>
            <w:pPr>
              <w:spacing w:after="80" w:before="80"/>
            </w:pPr>
            <w:r>
              <w:rPr>
                <w:sz w:val="17"/>
              </w:rPr>
              <w:t>Fin du jour civil d’échéance</w:t>
            </w:r>
          </w:p>
        </w:tc>
      </w:tr>
      <w:tr>
        <w:trPr>
          <w:cantSplit/>
        </w:trPr>
        <w:tc>
          <w:tcPr>
            <w:tcW w:type="dxa" w:w="3251"/>
          </w:tcPr>
          <w:p>
            <w:pPr>
              <w:spacing w:after="80" w:before="80"/>
            </w:pPr>
            <w:r>
              <w:rPr>
                <w:sz w:val="17"/>
              </w:rPr>
              <w:t>Fréquence &lt;24 h</w:t>
            </w:r>
          </w:p>
        </w:tc>
        <w:tc>
          <w:tcPr>
            <w:tcW w:type="dxa" w:w="3251"/>
          </w:tcPr>
          <w:p>
            <w:pPr>
              <w:spacing w:after="80" w:before="80"/>
            </w:pPr>
            <w:r>
              <w:rPr>
                <w:sz w:val="17"/>
              </w:rPr>
              <w:t>2 h avant</w:t>
            </w:r>
          </w:p>
        </w:tc>
        <w:tc>
          <w:tcPr>
            <w:tcW w:type="dxa" w:w="3251"/>
          </w:tcPr>
          <w:p>
            <w:pPr>
              <w:spacing w:after="80" w:before="80"/>
            </w:pPr>
            <w:r>
              <w:rPr>
                <w:sz w:val="17"/>
              </w:rPr>
              <w:t>Heure cible +1 h, bornée par prochaine fixe si nécessaire</w:t>
            </w:r>
          </w:p>
        </w:tc>
      </w:tr>
      <w:tr>
        <w:trPr>
          <w:cantSplit/>
        </w:trPr>
        <w:tc>
          <w:tcPr>
            <w:tcW w:type="dxa" w:w="3251"/>
          </w:tcPr>
          <w:p>
            <w:pPr>
              <w:spacing w:after="80" w:before="80"/>
            </w:pPr>
            <w:r>
              <w:rPr>
                <w:sz w:val="17"/>
              </w:rPr>
              <w:t>Exactement 24 h</w:t>
            </w:r>
          </w:p>
        </w:tc>
        <w:tc>
          <w:tcPr>
            <w:tcW w:type="dxa" w:w="3251"/>
          </w:tcPr>
          <w:p>
            <w:pPr>
              <w:spacing w:after="80" w:before="80"/>
            </w:pPr>
            <w:r>
              <w:rPr>
                <w:sz w:val="17"/>
              </w:rPr>
              <w:t>2 h avant</w:t>
            </w:r>
          </w:p>
        </w:tc>
        <w:tc>
          <w:tcPr>
            <w:tcW w:type="dxa" w:w="3251"/>
          </w:tcPr>
          <w:p>
            <w:pPr>
              <w:spacing w:after="80" w:before="80"/>
            </w:pPr>
            <w:r>
              <w:rPr>
                <w:sz w:val="17"/>
              </w:rPr>
              <w:t>Fin du jour civil, arbitrage implémenté mais non confirmé explicitement</w:t>
            </w:r>
          </w:p>
        </w:tc>
      </w:tr>
      <w:tr>
        <w:trPr>
          <w:cantSplit/>
        </w:trPr>
        <w:tc>
          <w:tcPr>
            <w:tcW w:type="dxa" w:w="3251"/>
          </w:tcPr>
          <w:p>
            <w:pPr>
              <w:spacing w:after="80" w:before="80"/>
            </w:pPr>
            <w:r>
              <w:rPr>
                <w:sz w:val="17"/>
              </w:rPr>
              <w:t>Journée sans heure</w:t>
            </w:r>
          </w:p>
        </w:tc>
        <w:tc>
          <w:tcPr>
            <w:tcW w:type="dxa" w:w="3251"/>
          </w:tcPr>
          <w:p>
            <w:pPr>
              <w:spacing w:after="80" w:before="80"/>
            </w:pPr>
            <w:r>
              <w:rPr>
                <w:sz w:val="17"/>
              </w:rPr>
              <w:t>Traitement de journée du moteur</w:t>
            </w:r>
          </w:p>
        </w:tc>
        <w:tc>
          <w:tcPr>
            <w:tcW w:type="dxa" w:w="3251"/>
          </w:tcPr>
          <w:p>
            <w:pPr>
              <w:spacing w:after="80" w:before="80"/>
            </w:pPr>
            <w:r>
              <w:rPr>
                <w:sz w:val="17"/>
              </w:rPr>
              <w:t>Fin du jour civil</w:t>
            </w:r>
          </w:p>
        </w:tc>
      </w:tr>
      <w:tr>
        <w:trPr>
          <w:cantSplit/>
        </w:trPr>
        <w:tc>
          <w:tcPr>
            <w:tcW w:type="dxa" w:w="3251"/>
          </w:tcPr>
          <w:p>
            <w:pPr>
              <w:spacing w:after="80" w:before="80"/>
            </w:pPr>
            <w:r>
              <w:rPr>
                <w:sz w:val="17"/>
              </w:rPr>
              <w:t>Sans date</w:t>
            </w:r>
          </w:p>
        </w:tc>
        <w:tc>
          <w:tcPr>
            <w:tcW w:type="dxa" w:w="3251"/>
          </w:tcPr>
          <w:p>
            <w:pPr>
              <w:spacing w:after="80" w:before="80"/>
            </w:pPr>
            <w:r>
              <w:rPr>
                <w:sz w:val="17"/>
              </w:rPr>
              <w:t>Aucune apparition sur Aujourd’hui</w:t>
            </w:r>
          </w:p>
        </w:tc>
        <w:tc>
          <w:tcPr>
            <w:tcW w:type="dxa" w:w="3251"/>
          </w:tcPr>
          <w:p>
            <w:pPr>
              <w:spacing w:after="80" w:before="80"/>
            </w:pPr>
            <w:r>
              <w:rPr>
                <w:sz w:val="17"/>
              </w:rPr>
              <w:t>Aucune ponctualité ni retard</w:t>
            </w:r>
          </w:p>
        </w:tc>
      </w:tr>
    </w:tbl>
    <w:p/>
    <w:p>
      <w:r>
        <w:t>Les bornes finales sont exclusives. Une mission ouverte reste en retard au changement de jour. Les seuils exacts et les changements d’heure doivent être testés avant/après la borne. Périodes de référence proposées : 06–12, 12–18, 18–22 ; leurs modifications ne doivent pas réécrire les occurrences terminées. La politique des heures inexistantes/répétées reste une règle de recette à vérifier dans le moteur effectif.</w:t>
      </w:r>
    </w:p>
    <w:p>
      <w:r>
        <w:t>Fixed conserve les occurrences non réalisées, sans reset destructeur. Relative conserve une seule obligation ouverte et calcule la suivante après validation effective. Exemple : poules tous les 7 jours civils ; validation le 28/10 à 11:30 Paris -&gt; prochaine le 04/11 à 11:30 ; deux validations simultanées ne créent pas deux suites. Une mission sans date n’est pas un calendrier manuel de réalisation quotidienne.</w:t>
      </w:r>
    </w:p>
    <w:p>
      <w:pPr>
        <w:pStyle w:val="Heading1"/>
      </w:pPr>
      <w:r>
        <w:t>7 Cycle de vie et sous tâches</w:t>
      </w:r>
    </w:p>
    <w:p>
      <w:r>
        <w:t>États persistés du moteur : open, done, skipped, cancelled ; à venir/à faire/en retard sont calculés selon le temps. Report maintient open et ajoute une trace ; pause de définition ne supprime pas ses anciennes obligations. Archivage conserve l’historique. Réouverture/correction doit être auditée ; résolution relative si une occurrence suivante a déjà changé, sans effacer les événements.</w:t>
      </w:r>
    </w:p>
    <w:p>
      <w:r>
        <w:t>Pour chaque action d’étape, vérifier principal, foyer, scope personne, état ouvert, visibilité, version et stepId. Envoyer done explicite, pas un toggle ambigu. Le serveur refuse complete si des étapes sont manquantes (</w:t>
      </w:r>
      <w:r>
        <w:rPr>
          <w:rFonts w:ascii="Consolas" w:hAnsi="Consolas"/>
          <w:sz w:val="18"/>
        </w:rPr>
        <w:t>STEPS_INCOMPLETE</w:t>
      </w:r>
      <w:r>
        <w:t xml:space="preserve">). Une nouvelle répétition ne reçoit pas les coches de la précédente. Les APIs create/edit retirent la progression client </w:t>
      </w:r>
      <w:r>
        <w:rPr>
          <w:rFonts w:ascii="Consolas" w:hAnsi="Consolas"/>
          <w:sz w:val="18"/>
        </w:rPr>
        <w:t>stepDone</w:t>
      </w:r>
      <w:r>
        <w:t xml:space="preserve"> et </w:t>
      </w:r>
      <w:r>
        <w:rPr>
          <w:rFonts w:ascii="Consolas" w:hAnsi="Consolas"/>
          <w:sz w:val="18"/>
        </w:rPr>
        <w:t>legacyProgress</w:t>
      </w:r>
      <w:r>
        <w:t xml:space="preserve"> pour empêcher une validation injectée.</w:t>
      </w:r>
    </w:p>
    <w:p>
      <w:r>
        <w:t>Un requestId et une empreinte de contenu rendent l’action idempotente ; rejouer la même tentative après réponse perdue retourne le résultat antérieur. Une modification de contenu est une nouvelle tentative, pas la réutilisation aveugle d’un identifiant. VERSION_CONFLICT impose une relecture, jamais l’écrasement silencieux de la version distante.</w:t>
      </w:r>
    </w:p>
    <w:p>
      <w:pPr>
        <w:pStyle w:val="Heading1"/>
      </w:pPr>
      <w:r>
        <w:t>8 Synchronisation et mode dégradé</w:t>
      </w:r>
    </w:p>
    <w:p>
      <w:r>
        <w:t>Les deux clients utilisent des RPC et des snapshots/révisions. Le polling actif de révision est cadencé à environ une seconde lorsque la page est visible et en ligne, avec conditions et gardes propres au client ; cela ne constitue pas une garantie de délai temps réel ni un transport Supabase Realtime déjà activé.</w:t>
      </w:r>
    </w:p>
    <w:p>
      <w:r>
        <w:t>Afficher envoi, à jour et fraîcheur, interruption/hors connexion, puis Réessayer si nécessaire. Ne pas imposer le bouton Synchroniser maintenant en utilisation normale. Réessayer ne signifie pas supprimer les données locales. Une réponse tardive d’un ancien compte est ignorée. Changement de compte, déconnexion et révocation ne laissent pas un cache d’un autre principal accessible.</w:t>
      </w:r>
    </w:p>
    <w:p>
      <w:r>
        <w:t>Hors connexion : pas de nouvelle validation confirmée ; lecture datée si instantané disponible. Notre Maison dispose d’un cache par identité limité à 24 h dans la base livrée ; Mes Missions conserve l’affichage courant et le fonctionnement historique de certains espaces. Ne pas promettre une file d’écriture offline ni un stockage identique sur les deux clients. Une révocation distante ne peut pas effacer magiquement un cache d’un appareil resté coupé du réseau : appliquer la durée locale, purger dès connaissance et refuser tout accès serveur révoqué.</w:t>
      </w:r>
    </w:p>
    <w:p>
      <w:pPr>
        <w:pStyle w:val="Heading1"/>
      </w:pPr>
      <w:r>
        <w:t>9 Rappels et notifications</w:t>
      </w:r>
    </w:p>
    <w:p>
      <w:r>
        <w:t>Un réglage de mission partagé, des destinations associées à la personne et des permissions propres à chaque appareil. L’heure d’apparition n’est pas l’heure du rappel. L’heure d’une étape est indicative ; les étapes n’ont pas dans la livraison un worker de notifications autonome.</w:t>
      </w:r>
    </w:p>
    <w:p>
      <w:r>
        <w:t>Un rappel distinct ne déplace pas l’échéance. Relances espacées et nombre configurables selon serveur/formulaire ; les valeurs d’exemple 15 minutes et deux relances ne valent pas obligation universelle. Arrêter les rappels devenus inutiles après réalisation, saut, annulation, pause ou révocation suivant les règles du moteur. Prévenir la coexistence de rappels anciens V10 et nouveaux pour le même périmètre repris.</w:t>
      </w:r>
    </w:p>
    <w:p>
      <w:r>
        <w:t>Son premier plan après geste utilisateur ; abonnement Push lié au compte/appareil après permission. Code d’association seul insuffisant pour les Push nominatifs. Les limites Android, économie d’énergie, volume et Ne pas déranger ne sont pas contournées par une PWA. Un job envoyé ne prouve pas une notification reçue ou entendue.</w:t>
      </w:r>
    </w:p>
    <w:p>
      <w:r>
        <w:t>Le worker et le planificateur existants doivent être inventoriés, pas remplacés automatiquement lors d’une publication statique. Les rituels possèdent leurs rappels premier plan ; l’arrière-plan des rituels reste une limite à vérifier/compléter. Les objectifs de sonnerie et d’annulation sont dans le référentiel historique, sans conformité matérielle revendiquée.</w:t>
      </w:r>
    </w:p>
    <w:p>
      <w:pPr>
        <w:pStyle w:val="Heading1"/>
      </w:pPr>
      <w:r>
        <w:t>10 Statistiques et encouragements</w:t>
      </w:r>
    </w:p>
    <w:p>
      <w:r>
        <w:t>Trois responsables seulement : Annabelle, Papa, Maman. Étapes utilisées pour progression, mission pour réalisation. Une réalisation conserve responsable et acteur distincts. Les règles et rituels n’entrent pas dans les statistiques individuelles sans mode explicite. Les missions sans date en sont exclues.</w:t>
      </w:r>
    </w:p>
    <w:p>
      <w:r>
        <w:t>Sur une cohorte d’échéances initiales : D = T + L + S + N + A, avec T réalisées à temps, L réalisées en retard, S sautées, N ouvertes après fin de ponctualité et A ouvertes non encore en retard. Annulations à part. Réalisation = (T+L)/D ; ponctualité = T/(T+L) ; zéro dénominateur -&gt; aucune donnée. Agréger les compteurs, pas les pourcentages. Ces conventions détaillées viennent de V1.1 et constituent une cible de recette à confronter aux vues actuelles.</w:t>
      </w:r>
    </w:p>
    <w:p>
      <w:r>
        <w:t>Exemple : T=4, L=2, S=1, N=2, A=1 -&gt; D=10, réalisation 60 %, ponctualité 66,7 %, bilan provisoire. Deux reports d’une même mission ne créent ni deux missions ni deux réalisations. Un snapshot ancien ne doit pas être remplacé par l’état d’aujourd’hui sans avertissement.</w:t>
      </w:r>
    </w:p>
    <w:p>
      <w:r>
        <w:t>Le bandeau valorise les actions du jour et se renouvelle à minuit Paris sans remettre à zéro les retards. Messages doux/ludiques, adaptés aux préférences, sans comparaison culpabilisante. La stabilité interappareils et les règles de non-répétition éditoriale sont des critères à vérifier ; ne pas annoncer la rétention 24 mois ou des snapshots quotidiens complets comme déjà garantis par les sources V12.</w:t>
      </w:r>
    </w:p>
    <w:p>
      <w:pPr>
        <w:pStyle w:val="Heading1"/>
      </w:pPr>
      <w:r>
        <w:t>11 Règles rituels raccourcis caméra et avatars</w:t>
      </w:r>
    </w:p>
    <w:p>
      <w:r>
        <w:t>Règles de maison éditables par les parents, stables pendant l’utilisation quotidienne. Rituels distincts des missions : description, horaire, durée, rappel ; éviter double comptage ou double sonnerie. Les textes historiques sont conservés dans la référence V1.1, pas réimportés comme données réelles sans contrôle.</w:t>
      </w:r>
    </w:p>
    <w:p>
      <w:r>
        <w:t>Raccourcis par icônes avec nom accessible et libellé explicatif dans le paramétrage ; URL ou intent compatible Android. Aucune API d’agenda, courses, localisation ou Home Assistant n’est supposée à partir d’un lien. Le retour depuis une application externe requiert une configuration kiosque appropriée ; un minuteur web seul ne la ramène pas forcément au premier plan.</w:t>
      </w:r>
    </w:p>
    <w:p>
      <w:r>
        <w:t>Caméra : flux HTTPS compatible navigateur, pas de conversion RTSP automatique ; pas d’enregistrement ni de captures persistées. Verrou caméra suspend le retour interne aux missions, pas la gestion physique de l’écran. Une image figée ne doit pas être présentée comme du direct ; détection de panne, audio et reprise après reboot nécessitent la recette sur le lecteur réel.</w:t>
      </w:r>
    </w:p>
    <w:p>
      <w:r>
        <w:t>Avatars : choix parmi portraits, import photo, retour défaut et synchronisation de la configuration commune. Le recadrage photo avancé et le diagnostic de flux restent des cibles si non présents. Ne pas modifier le visuel choisi par Annabelle simplement pour alléger le dashboard.</w:t>
      </w:r>
    </w:p>
    <w:p>
      <w:pPr>
        <w:pStyle w:val="Heading1"/>
      </w:pPr>
      <w:r>
        <w:t>12 Gestion physique de l’écran</w:t>
      </w:r>
    </w:p>
    <w:p>
      <w:r>
        <w:t>Matériel identifié : Lenovo Tab M10 FHD Plus, Android 10, Fully Kiosk. La version WebView doit être relevée ; Android 10 ne suffit pas à établir la compatibilité du bundle cible chrome100.</w:t>
      </w:r>
    </w:p>
    <w:p>
      <w:r>
        <w:t>Fully est le seul composant qui commande effectivement luminosité et alimentation dans le mode Fully. Une option locale du portail peut le programmer via son interface JavaScript ; elle est désactivée par défaut. Sans cette option, la programmation native Fully reste active selon sa configuration. En mode portail pilotant Fully, neutraliser les minuteurs concurrents ; ne pas activer en parallèle un wake lock navigateur.</w:t>
      </w:r>
    </w:p>
    <w:p>
      <w:r>
        <w:t>Comportement livré quand le pilotage local est activé : interaction ou mouvement remet cinq minutes ; 06:00 inclus à 22:00 exclu -&gt; assombrissement après inactivité ; nuit -&gt; extinction après inactivité ; mouvement -&gt; luminosité normale dans les deux cas. À 22:00 extinction immédiate si les cinq minutes sont déjà écoulées, sinon attendre le reste. À 06:00 la page encore exécutée passe à l’état assombri, mouvement restaure la normale. Cette convention de délai nocturne reste à confirmer si Laurie souhaite une extinction stricte dès 22:00.</w:t>
      </w:r>
    </w:p>
    <w:p>
      <w:r>
        <w:t>Réglages locaux à cette installation, pas aux téléphones. Authentification parent pour modifier dans le portail ; la configuration Android/Fully demande les permissions et fonctionnalités réellement disponibles, dont détection et interface JS selon édition. Utiliser l’interface privilégiée seulement pour les URL de confiance. Dans le noir, la caméra peut ne pas détecter ; si la page est suspendue écran éteint, son timer ne garantit pas les transitions. Une simulation de méthode Fully n’est pas une recette physique.</w:t>
      </w:r>
    </w:p>
    <w:p>
      <w:pPr>
        <w:pStyle w:val="Heading1"/>
      </w:pPr>
      <w:r>
        <w:t>13 Reprise des anciennes listes et préservation</w:t>
      </w:r>
    </w:p>
    <w:p>
      <w:r>
        <w:t>L’installation du SQL 003 et la reprise des listes sont deux opérations différentes. SQL 003 exige le moteur V11 existant, conserve dispatch_v11 et ajoute les contrats V12 ; il ne convertit pas tous les comptes au moment de son application.</w:t>
      </w:r>
    </w:p>
    <w:p>
      <w:r>
        <w:t>Au premier chargement Mes Missions authentifié avec apiVersion &gt;=12 : reprise des listes personnelles du compte, registre unique, sauvegarde des sources et bilan. Un compte adulte non associé choisit une personne libre ; compte enfant limité à Annabelle par le moteur existant. Aucune déduction depuis nom/email. Les anciennes listes partagées ne sont pas attribuées automatiquement ; elles restent dans les options avancées.</w:t>
      </w:r>
    </w:p>
    <w:p>
      <w:r>
        <w:t>Liste convertible -&gt; une définition de mission et items -&gt; étapes avec IDs conservés. Cycles daily/weekly -&gt; calendrier correspondant ; manual -&gt; mode none. Préserver thème, note, groupe, heure indicative et historique original. Reprendre les coches du jour lorsque possible sans inventer un completed_at. Protéger les anciennes écritures et rappels du périmètre basculé.</w:t>
      </w:r>
    </w:p>
    <w:p>
      <w:r>
        <w:t>Si les anciennes définitions sont modifiées ou si leurs occurrences sont réalisées, modifiées ou en retard, le bootstrap peut conserver la granularité existante pour protéger l’historique. Le bilan doit expliquer « préservé », pas faire croire à une conversion complète. Le dashboard peut replier ces anciens groupes ; ne pas supprimer les occurrences pour imposer la nouvelle apparence.</w:t>
      </w:r>
    </w:p>
    <w:p>
      <w:r>
        <w:t>Deux ouvertures ou deux appareils ne dupliquent pas la reprise. Source sauvegardée n’est pas synonyme de restauration complète automatique. Après bascule, rollback du frontend seul n’annule pas les changements de données. Conserver ledger, audit, sauvegardes et validations intervenues depuis ; ne pas vider le registre pour recommencer.</w:t>
      </w:r>
    </w:p>
    <w:p>
      <w:pPr>
        <w:pStyle w:val="Heading1"/>
      </w:pPr>
      <w:r>
        <w:t>14 Architecture actuelle et contrats</w:t>
      </w:r>
    </w:p>
    <w:p>
      <w:r>
        <w:t>Deux sites statiques, un projet Supabase existant. Personnel https://lumawork.github.io/listes-nana/ ; familial https://lumawork.github.io/listes-famille/. Aucun chemin /notre-maison/ à utiliser pour le portail réel.</w:t>
      </w:r>
    </w:p>
    <w:p>
      <w:r>
        <w:t>Mes Missions : HTML/CSS/JS, couches historiques et dynamic.js. Notre Maison : React/TSX, esbuild, bundle assets/app.js. MissionWizard partagé par copie identique et SQL 003 identique ; contrôler leurs empreintes à chaque release. Service workers, manifeste et ressources adaptés aux sous-chemins.</w:t>
      </w:r>
    </w:p>
    <w:p>
      <w:r>
        <w:t xml:space="preserve">Auth nominatif Supabase, RPC public </w:t>
      </w:r>
      <w:r>
        <w:rPr>
          <w:rFonts w:ascii="Consolas" w:hAnsi="Consolas"/>
          <w:sz w:val="18"/>
        </w:rPr>
        <w:t>nm_rpc(p_action,p_data,p_token)</w:t>
      </w:r>
      <w:r>
        <w:t xml:space="preserve">, schémas privés mm_private et nm_private. Pas de client PostgreSQL direct dans le navigateur et pas de clé de migration dans config.js. Le dispatcher V12 enveloppe le moteur V11. Actions publiques nouvelles : </w:t>
      </w:r>
      <w:r>
        <w:rPr>
          <w:rFonts w:ascii="Consolas" w:hAnsi="Consolas"/>
          <w:sz w:val="18"/>
        </w:rPr>
        <w:t>bootstrap</w:t>
      </w:r>
      <w:r>
        <w:t xml:space="preserve"> et </w:t>
      </w:r>
      <w:r>
        <w:rPr>
          <w:rFonts w:ascii="Consolas" w:hAnsi="Consolas"/>
          <w:sz w:val="18"/>
        </w:rPr>
        <w:t>step</w:t>
      </w:r>
      <w:r>
        <w:t xml:space="preserve"> ; </w:t>
      </w:r>
      <w:r>
        <w:rPr>
          <w:rFonts w:ascii="Consolas" w:hAnsi="Consolas"/>
          <w:sz w:val="18"/>
        </w:rPr>
        <w:t>bootstrap_v12</w:t>
      </w:r>
      <w:r>
        <w:t xml:space="preserve"> est le nom de fonction privée, PAS un nom d’action publique à inventer.</w:t>
      </w:r>
    </w:p>
    <w:p>
      <w:r>
        <w:t>La progression est portée par l’occurrence (</w:t>
      </w:r>
      <w:r>
        <w:rPr>
          <w:rFonts w:ascii="Consolas" w:hAnsi="Consolas"/>
          <w:sz w:val="18"/>
        </w:rPr>
        <w:t>spec.stepDone</w:t>
      </w:r>
      <w:r>
        <w:t xml:space="preserve">), les étapes modèles par </w:t>
      </w:r>
      <w:r>
        <w:rPr>
          <w:rFonts w:ascii="Consolas" w:hAnsi="Consolas"/>
          <w:sz w:val="18"/>
        </w:rPr>
        <w:t>spec.steps</w:t>
      </w:r>
      <w:r>
        <w:t>. Le serveur contrôle droits/version/idempotence, journalise et réalise la dernière étape atomiquement. Les noms physiques et contrats exacts sont documentés dans 03_ARCHITECTURE_ET_CONTRATS.md et les exemples JSON ; les modèles conceptuels V1.1 ne sont pas un DDL à réexécuter.</w:t>
      </w:r>
    </w:p>
    <w:p>
      <w:r>
        <w:t>Le worker Push reste côté serveur. Les réglages écran restent locaux. Il n’est pas nécessaire d’ajouter un serveur domestique, un BFF ou n8n pour le cœur livré. Toute future intégration externe fait l’objet d’un périmètre et de droits propres.</w:t>
      </w:r>
    </w:p>
    <w:p>
      <w:pPr>
        <w:pStyle w:val="Heading1"/>
      </w:pPr>
      <w:r>
        <w:t>15 Sécurité et confidentialité</w:t>
      </w:r>
    </w:p>
    <w:p>
      <w:r>
        <w:t>Droits serveur par foyer/personne, RLS et fonctions contrôlées ; refus des lectures/écritures privées directes. Les codes temporaires sont à usage unique, expiration 24 h dans le moteur historique, puis association révocable. Le jeton appareil dispose de sa propre durée dans le schéma ; vérifier l’expiration installée avant de promettre une association illimitée. Secrets hachés côté base selon code, jamais valeurs à publier.</w:t>
      </w:r>
    </w:p>
    <w:p>
      <w:r>
        <w:t>La tablette n’est pas parent par association. Les photos, stats et flux caméra restent dans le périmètre accordé. Ne pas inclure de données de famille, captures privées, dumps ni secrets dans un site public, une CI ou le dossier d’une autre IA. Les templates du dossier ne transmettent aucune donnée à Nexus/Atlas/Harmonie/Tempo. Les autorisations de publication de code ne valent pas autorisation de partager ces systèmes.</w:t>
      </w:r>
    </w:p>
    <w:p>
      <w:r>
        <w:t>Vérifier validation des textes et URLs, absence d’injection HTML, schemes de raccourcis acceptés, exports filtrés et sessions parent temporaires. Tester un deuxième foyer synthétique et des rôles non privilégiés, pas uniquement un compte service.</w:t>
      </w:r>
    </w:p>
    <w:p>
      <w:pPr>
        <w:pStyle w:val="Heading1"/>
      </w:pPr>
      <w:r>
        <w:t>16 Exigences non fonctionnelles</w:t>
      </w:r>
    </w:p>
    <w:p>
      <w:r>
        <w:t>Les cibles V1.1 sont conservées comme objectifs de recette, pas comme mesures obtenues : synchro &lt;=2 s p95 et &lt;=5 s p99 en ligne sur réseau de référence ; écran utile &lt;=3 s à chaud p95 ; 3 personnes/6 appareils/100 définitions par personne ; 24 h d’endurance et 10 cycles veille ; textes usuels &gt;=16 px, cibles &gt;=48 px, zoom 200 %, contrastes usuels 4,5:1. Mesurer les volumes et la charge avant d’en faire un engagement.</w:t>
      </w:r>
    </w:p>
    <w:p>
      <w:r>
        <w:t>Sauvegarde quotidienne chiffrée, RPO24h/RTO4h et conservation événements 24 mois restent des propositions historiques à arbitrer et à vérifier selon le service réel ; elles ne sont ni configurées ni garanties par ce document. Préserver les sauvegardes avant première migration. Surveiller erreurs RPC, conflits, jobs Push et versions sans journaliser les secrets. Ne pas répéter l’alerte TLS datée d’un ancien guide comme une panne actuelle non vérifiée.</w:t>
      </w:r>
    </w:p>
    <w:p>
      <w:pPr>
        <w:pStyle w:val="Heading1"/>
      </w:pPr>
      <w:r>
        <w:t>17 Tests recette et qualité de preuve</w:t>
      </w:r>
    </w:p>
    <w:p>
      <w:r>
        <w:t>Tests unitaires métier, SQL local, contrats, DOM et sécurité négative, puis navigateurs et matériel. Horloge injectée et dates civiles Paris. Recette des seuils temporels avant/à/après, changements d’heure, perte réseau, changement de compte, association/révocation et concurrence deux appareils.</w:t>
      </w:r>
    </w:p>
    <w:p>
      <w:r>
        <w:t>La livraison applicative précédente rapporte des tests locaux PGlite/Node/DOM et un build tablette passants ; aucune preuve de nouvelle installation en production ou de recette Lenovo V12. Les nouveaux documents ne relancent pas toutes les suites ni ne transforment T01–T73 en tests exécutés. Le catalogue consolidé ajoute les scénarios des étapes, du formulaire, de la reprise et de la CI. Tous gardent le statut À exécuter sur le candidat de production, sauf preuve explicitement reliée au build.</w:t>
      </w:r>
    </w:p>
    <w:p>
      <w:r>
        <w:t>Sortie de release : tests du périmètre passants ; pas de perte de données, fuite de droits ou doublon ; versions et API cohérentes ; contrôle HTML/bundle ; recette réelle des fonctions matérielles promises. Un HTTP200 seul ne valide ni un compte ni les notifications.</w:t>
      </w:r>
    </w:p>
    <w:p>
      <w:pPr>
        <w:pStyle w:val="Heading1"/>
      </w:pPr>
      <w:r>
        <w:t>18 Déploiement automatisé par Claude</w:t>
      </w:r>
    </w:p>
    <w:p>
      <w:r>
        <w:t>Après autorisation initiale, Claude doit prendre en charge modification, tests, commit, migrations compatibles, publication, suivi de CI et contrôles finaux. Plus de transfert manuel de ZIP, copie de SQL ou clic Pages à chaque livraison. Les droits initiaux GitHub/Supabase et les permissions Android ne peuvent pas être créés par un fichier.</w:t>
      </w:r>
    </w:p>
    <w:p>
      <w:r>
        <w:t>Deux dépôts existants, workflows GitHub fournis dans le dossier de reprise : npm ci -&gt; build tablette -&gt; tests -&gt; dossier public filtré -&gt; migration SQL avec registre/checksum/verrou -&gt; Pages -&gt; sonde HTTP. Les outils ne sont pas encore installés ni exécutés sur les comptes réels. Le runner ne publie ni backend, ni tests, ni node_modules, ni secrets.</w:t>
      </w:r>
    </w:p>
    <w:p>
      <w:r>
        <w:t>Utiliser Claude Code ou un environnement agent avec shell, Git/CI et droits d’écriture adaptés. Un chat avec lecture GitHub seule ne suffit pas. La première opération consiste à lire l’état réellement publié, comparer les versions et installer/configurer les workflows avec accès sécurisés. Ne pas coller les secrets dans le prompt ou les archives.</w:t>
      </w:r>
    </w:p>
    <w:p>
      <w:r>
        <w:t>Conserver les protections institutionnelles et le périmètre des deux dépôts/projet. Une revue humaine obligatoire peut empêcher le zéro-clic : le dire, sans bypass. Deux publications ne sont pas atomiques ; les migrations doivent être rétrocompatibles. Échec tests/SQL bloque la publication correspondante. Une publication échouée après SQL n’annule pas la base ; rollback de données jamais automatique/destructeur. Annoncer déployé uniquement avec commits/run IDs et preuves.</w:t>
      </w:r>
    </w:p>
    <w:p>
      <w:pPr>
        <w:pStyle w:val="Heading1"/>
      </w:pPr>
      <w:r>
        <w:t>19 Points ouverts et jalons</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tcPr>
          <w:p>
            <w:pPr>
              <w:spacing w:after="80" w:before="80"/>
            </w:pPr>
            <w:r>
              <w:rPr>
                <w:sz w:val="17"/>
              </w:rPr>
              <w:t>Sujet</w:t>
            </w:r>
          </w:p>
        </w:tc>
        <w:tc>
          <w:tcPr>
            <w:tcW w:type="dxa" w:w="3251"/>
          </w:tcPr>
          <w:p>
            <w:pPr>
              <w:spacing w:after="80" w:before="80"/>
            </w:pPr>
            <w:r>
              <w:rPr>
                <w:sz w:val="17"/>
              </w:rPr>
              <w:t>État actuel</w:t>
            </w:r>
          </w:p>
        </w:tc>
        <w:tc>
          <w:tcPr>
            <w:tcW w:type="dxa" w:w="3251"/>
          </w:tcPr>
          <w:p>
            <w:pPr>
              <w:spacing w:after="80" w:before="80"/>
            </w:pPr>
            <w:r>
              <w:rPr>
                <w:sz w:val="17"/>
              </w:rPr>
              <w:t>Suite</w:t>
            </w:r>
          </w:p>
        </w:tc>
      </w:tr>
      <w:tr>
        <w:trPr>
          <w:cantSplit/>
        </w:trPr>
        <w:tc>
          <w:tcPr>
            <w:tcW w:type="dxa" w:w="3251"/>
          </w:tcPr>
          <w:p>
            <w:pPr>
              <w:spacing w:after="80" w:before="80"/>
            </w:pPr>
            <w:r>
              <w:rPr>
                <w:sz w:val="17"/>
              </w:rPr>
              <w:t>Version réellement installée</w:t>
            </w:r>
          </w:p>
        </w:tc>
        <w:tc>
          <w:tcPr>
            <w:tcW w:type="dxa" w:w="3251"/>
          </w:tcPr>
          <w:p>
            <w:pPr>
              <w:spacing w:after="80" w:before="80"/>
            </w:pPr>
            <w:r>
              <w:rPr>
                <w:sz w:val="17"/>
              </w:rPr>
              <w:t>Non vérifiée par cette rédaction</w:t>
            </w:r>
          </w:p>
        </w:tc>
        <w:tc>
          <w:tcPr>
            <w:tcW w:type="dxa" w:w="3251"/>
          </w:tcPr>
          <w:p>
            <w:pPr>
              <w:spacing w:after="80" w:before="80"/>
            </w:pPr>
            <w:r>
              <w:rPr>
                <w:sz w:val="17"/>
              </w:rPr>
              <w:t>Inventaire Claude en lecture</w:t>
            </w:r>
          </w:p>
        </w:tc>
      </w:tr>
      <w:tr>
        <w:trPr>
          <w:cantSplit/>
        </w:trPr>
        <w:tc>
          <w:tcPr>
            <w:tcW w:type="dxa" w:w="3251"/>
          </w:tcPr>
          <w:p>
            <w:pPr>
              <w:spacing w:after="80" w:before="80"/>
            </w:pPr>
            <w:r>
              <w:rPr>
                <w:sz w:val="17"/>
              </w:rPr>
              <w:t>SQL003 en production</w:t>
            </w:r>
          </w:p>
        </w:tc>
        <w:tc>
          <w:tcPr>
            <w:tcW w:type="dxa" w:w="3251"/>
          </w:tcPr>
          <w:p>
            <w:pPr>
              <w:spacing w:after="80" w:before="80"/>
            </w:pPr>
            <w:r>
              <w:rPr>
                <w:sz w:val="17"/>
              </w:rPr>
              <w:t>Non établi</w:t>
            </w:r>
          </w:p>
        </w:tc>
        <w:tc>
          <w:tcPr>
            <w:tcW w:type="dxa" w:w="3251"/>
          </w:tcPr>
          <w:p>
            <w:pPr>
              <w:spacing w:after="80" w:before="80"/>
            </w:pPr>
            <w:r>
              <w:rPr>
                <w:sz w:val="17"/>
              </w:rPr>
              <w:t>Inspecter moteur puis appliquer seulement le complément nécessaire</w:t>
            </w:r>
          </w:p>
        </w:tc>
      </w:tr>
      <w:tr>
        <w:trPr>
          <w:cantSplit/>
        </w:trPr>
        <w:tc>
          <w:tcPr>
            <w:tcW w:type="dxa" w:w="3251"/>
          </w:tcPr>
          <w:p>
            <w:pPr>
              <w:spacing w:after="80" w:before="80"/>
            </w:pPr>
            <w:r>
              <w:rPr>
                <w:sz w:val="17"/>
              </w:rPr>
              <w:t>Exactement 24h</w:t>
            </w:r>
          </w:p>
        </w:tc>
        <w:tc>
          <w:tcPr>
            <w:tcW w:type="dxa" w:w="3251"/>
          </w:tcPr>
          <w:p>
            <w:pPr>
              <w:spacing w:after="80" w:before="80"/>
            </w:pPr>
            <w:r>
              <w:rPr>
                <w:sz w:val="17"/>
              </w:rPr>
              <w:t>Règle journée livrée, non confirmation familiale explicite</w:t>
            </w:r>
          </w:p>
        </w:tc>
        <w:tc>
          <w:tcPr>
            <w:tcW w:type="dxa" w:w="3251"/>
          </w:tcPr>
          <w:p>
            <w:pPr>
              <w:spacing w:after="80" w:before="80"/>
            </w:pPr>
            <w:r>
              <w:rPr>
                <w:sz w:val="17"/>
              </w:rPr>
              <w:t>Conserver tant que pas de nouvel arbitrage</w:t>
            </w:r>
          </w:p>
        </w:tc>
      </w:tr>
      <w:tr>
        <w:trPr>
          <w:cantSplit/>
        </w:trPr>
        <w:tc>
          <w:tcPr>
            <w:tcW w:type="dxa" w:w="3251"/>
          </w:tcPr>
          <w:p>
            <w:pPr>
              <w:spacing w:after="80" w:before="80"/>
            </w:pPr>
            <w:r>
              <w:rPr>
                <w:sz w:val="17"/>
              </w:rPr>
              <w:t>Nuit stricte à 22h</w:t>
            </w:r>
          </w:p>
        </w:tc>
        <w:tc>
          <w:tcPr>
            <w:tcW w:type="dxa" w:w="3251"/>
          </w:tcPr>
          <w:p>
            <w:pPr>
              <w:spacing w:after="80" w:before="80"/>
            </w:pPr>
            <w:r>
              <w:rPr>
                <w:sz w:val="17"/>
              </w:rPr>
              <w:t>Délai inactivité5min livré</w:t>
            </w:r>
          </w:p>
        </w:tc>
        <w:tc>
          <w:tcPr>
            <w:tcW w:type="dxa" w:w="3251"/>
          </w:tcPr>
          <w:p>
            <w:pPr>
              <w:spacing w:after="80" w:before="80"/>
            </w:pPr>
            <w:r>
              <w:rPr>
                <w:sz w:val="17"/>
              </w:rPr>
              <w:t>Confirmer seulement si besoin de changer</w:t>
            </w:r>
          </w:p>
        </w:tc>
      </w:tr>
      <w:tr>
        <w:trPr>
          <w:cantSplit/>
        </w:trPr>
        <w:tc>
          <w:tcPr>
            <w:tcW w:type="dxa" w:w="3251"/>
          </w:tcPr>
          <w:p>
            <w:pPr>
              <w:spacing w:after="80" w:before="80"/>
            </w:pPr>
            <w:r>
              <w:rPr>
                <w:sz w:val="17"/>
              </w:rPr>
              <w:t>WebView et Fully sur Lenovo</w:t>
            </w:r>
          </w:p>
        </w:tc>
        <w:tc>
          <w:tcPr>
            <w:tcW w:type="dxa" w:w="3251"/>
          </w:tcPr>
          <w:p>
            <w:pPr>
              <w:spacing w:after="80" w:before="80"/>
            </w:pPr>
            <w:r>
              <w:rPr>
                <w:sz w:val="17"/>
              </w:rPr>
              <w:t>Modèle connu, versions/permissions non certifiées</w:t>
            </w:r>
          </w:p>
        </w:tc>
        <w:tc>
          <w:tcPr>
            <w:tcW w:type="dxa" w:w="3251"/>
          </w:tcPr>
          <w:p>
            <w:pPr>
              <w:spacing w:after="80" w:before="80"/>
            </w:pPr>
            <w:r>
              <w:rPr>
                <w:sz w:val="17"/>
              </w:rPr>
              <w:t>Recette matérielle</w:t>
            </w:r>
          </w:p>
        </w:tc>
      </w:tr>
      <w:tr>
        <w:trPr>
          <w:cantSplit/>
        </w:trPr>
        <w:tc>
          <w:tcPr>
            <w:tcW w:type="dxa" w:w="3251"/>
          </w:tcPr>
          <w:p>
            <w:pPr>
              <w:spacing w:after="80" w:before="80"/>
            </w:pPr>
            <w:r>
              <w:rPr>
                <w:sz w:val="17"/>
              </w:rPr>
              <w:t>Worker et réception Push</w:t>
            </w:r>
          </w:p>
        </w:tc>
        <w:tc>
          <w:tcPr>
            <w:tcW w:type="dxa" w:w="3251"/>
          </w:tcPr>
          <w:p>
            <w:pPr>
              <w:spacing w:after="80" w:before="80"/>
            </w:pPr>
            <w:r>
              <w:rPr>
                <w:sz w:val="17"/>
              </w:rPr>
              <w:t>Sources présentes, réel à inventorier</w:t>
            </w:r>
          </w:p>
        </w:tc>
        <w:tc>
          <w:tcPr>
            <w:tcW w:type="dxa" w:w="3251"/>
          </w:tcPr>
          <w:p>
            <w:pPr>
              <w:spacing w:after="80" w:before="80"/>
            </w:pPr>
            <w:r>
              <w:rPr>
                <w:sz w:val="17"/>
              </w:rPr>
              <w:t>Test destinataire sur téléphone</w:t>
            </w:r>
          </w:p>
        </w:tc>
      </w:tr>
      <w:tr>
        <w:trPr>
          <w:cantSplit/>
        </w:trPr>
        <w:tc>
          <w:tcPr>
            <w:tcW w:type="dxa" w:w="3251"/>
          </w:tcPr>
          <w:p>
            <w:pPr>
              <w:spacing w:after="80" w:before="80"/>
            </w:pPr>
            <w:r>
              <w:rPr>
                <w:sz w:val="17"/>
              </w:rPr>
              <w:t>Sauvegarde et rétention</w:t>
            </w:r>
          </w:p>
        </w:tc>
        <w:tc>
          <w:tcPr>
            <w:tcW w:type="dxa" w:w="3251"/>
          </w:tcPr>
          <w:p>
            <w:pPr>
              <w:spacing w:after="80" w:before="80"/>
            </w:pPr>
            <w:r>
              <w:rPr>
                <w:sz w:val="17"/>
              </w:rPr>
              <w:t>Politique réelle non fournie</w:t>
            </w:r>
          </w:p>
        </w:tc>
        <w:tc>
          <w:tcPr>
            <w:tcW w:type="dxa" w:w="3251"/>
          </w:tcPr>
          <w:p>
            <w:pPr>
              <w:spacing w:after="80" w:before="80"/>
            </w:pPr>
            <w:r>
              <w:rPr>
                <w:sz w:val="17"/>
              </w:rPr>
              <w:t>Vérifier avant migration</w:t>
            </w:r>
          </w:p>
        </w:tc>
      </w:tr>
      <w:tr>
        <w:trPr>
          <w:cantSplit/>
        </w:trPr>
        <w:tc>
          <w:tcPr>
            <w:tcW w:type="dxa" w:w="3251"/>
          </w:tcPr>
          <w:p>
            <w:pPr>
              <w:spacing w:after="80" w:before="80"/>
            </w:pPr>
            <w:r>
              <w:rPr>
                <w:sz w:val="17"/>
              </w:rPr>
              <w:t>Intégrations secondaires</w:t>
            </w:r>
          </w:p>
        </w:tc>
        <w:tc>
          <w:tcPr>
            <w:tcW w:type="dxa" w:w="3251"/>
          </w:tcPr>
          <w:p>
            <w:pPr>
              <w:spacing w:after="80" w:before="80"/>
            </w:pPr>
            <w:r>
              <w:rPr>
                <w:sz w:val="17"/>
              </w:rPr>
              <w:t>Raccourcis, pas APIs intégrées présumées</w:t>
            </w:r>
          </w:p>
        </w:tc>
        <w:tc>
          <w:tcPr>
            <w:tcW w:type="dxa" w:w="3251"/>
          </w:tcPr>
          <w:p>
            <w:pPr>
              <w:spacing w:after="80" w:before="80"/>
            </w:pPr>
            <w:r>
              <w:rPr>
                <w:sz w:val="17"/>
              </w:rPr>
              <w:t>Lots séparés autorisés</w:t>
            </w:r>
          </w:p>
        </w:tc>
      </w:tr>
      <w:tr>
        <w:trPr>
          <w:cantSplit/>
        </w:trPr>
        <w:tc>
          <w:tcPr>
            <w:tcW w:type="dxa" w:w="3251"/>
          </w:tcPr>
          <w:p>
            <w:pPr>
              <w:spacing w:after="80" w:before="80"/>
            </w:pPr>
            <w:r>
              <w:rPr>
                <w:sz w:val="17"/>
              </w:rPr>
              <w:t>Coûts/licences</w:t>
            </w:r>
          </w:p>
        </w:tc>
        <w:tc>
          <w:tcPr>
            <w:tcW w:type="dxa" w:w="3251"/>
          </w:tcPr>
          <w:p>
            <w:pPr>
              <w:spacing w:after="80" w:before="80"/>
            </w:pPr>
            <w:r>
              <w:rPr>
                <w:sz w:val="17"/>
              </w:rPr>
              <w:t>Aucun prix actuel revendiqué</w:t>
            </w:r>
          </w:p>
        </w:tc>
        <w:tc>
          <w:tcPr>
            <w:tcW w:type="dxa" w:w="3251"/>
          </w:tcPr>
          <w:p>
            <w:pPr>
              <w:spacing w:after="80" w:before="80"/>
            </w:pPr>
            <w:r>
              <w:rPr>
                <w:sz w:val="17"/>
              </w:rPr>
              <w:t>Vérifier offre réelle si changement nécessaire</w:t>
            </w:r>
          </w:p>
        </w:tc>
      </w:tr>
    </w:tbl>
    <w:p/>
    <w:p>
      <w:r>
        <w:t>Jalon1 : inventaire et accès ; jalon2 : CI installée/testée ; jalon3 : déploiement cohérent ; jalon4 : recette téléphone/tablette ; jalon5 : exploitation et documentation actualisées. La vieille estimation humaine V1.1 de création complète n’est pas réutilisée comme délai pour la reprise actuelle.</w:t>
      </w:r>
    </w:p>
    <w:p>
      <w:pPr>
        <w:pStyle w:val="Heading1"/>
      </w:pPr>
      <w:r>
        <w:t>20 Pièces et utilisation par une autre IA</w:t>
      </w:r>
    </w:p>
    <w:p>
      <w:r>
        <w:t>Lire d’abord ce cahier puis les spécifications détaillées, l’architecture et les CSV de traçabilité/recette. Le dossier de reprise contient les sources et l’outillage ; cette documentation les complète sans changer leur code. La V1.1 originale est archivée uniquement pour provenance et anciennes références : en cas de conflit appliquer la présente V2.0 et le registre des changements.</w:t>
      </w:r>
    </w:p>
    <w:p>
      <w:r>
        <w:t>Les maquettes anciennes ne représentent pas le nouveau dashboard avec étapes ; aucune image ancienne n’est présentée comme nouvelle maquette validée. Les vues sont décrites en termes fonctionnels, les réglages exacts sont dans les sources. Maintenir le journal de décisions et une preuve par release pour que le prochain assistant n’ait pas à deviner ce qui a été publié.</w:t>
      </w:r>
    </w:p>
    <w:sectPr w:rsidR="00FC693F" w:rsidRPr="0006063C" w:rsidSect="00034616">
      <w:footerReference w:type="default" r:id="rId9"/>
      <w:pgSz w:w="11906" w:h="16838"/>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788"/>
        <w:sz w:val="16"/>
      </w:rPr>
      <w:t xml:space="preserve">Notre Maison et Mes Missions  |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174C69"/>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Calibri" w:hAnsi="Calibr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30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Notre Maison et Mes Missions</dc:title>
  <dc:subject>Spécifications consolidées version documentaire 2.0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