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304035"/>
          <w:sz w:val="80"/>
          <w:szCs w:val="80"/>
        </w:rPr>
        <w:t xml:space="preserve">AVRA</w:t>
      </w:r>
    </w:p>
    <w:p>
      <w:pPr>
        <w:spacing w:after="500" w:before="0"/>
        <w:jc w:val="center"/>
      </w:pPr>
      <w:r>
        <w:rPr>
          <w:rFonts w:ascii="Arial" w:cs="Arial" w:eastAsia="Arial" w:hAnsi="Arial"/>
          <w:b/>
          <w:bCs/>
          <w:color w:val="C9A227"/>
          <w:sz w:val="30"/>
          <w:szCs w:val="30"/>
        </w:rPr>
        <w:t xml:space="preserve">Analyse &amp; Réponses aux Demandes Associé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04035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12 points clés à traiter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0E0E0"/>
                <w:sz w:val="22"/>
                <w:szCs w:val="22"/>
              </w:rPr>
              <w:t xml:space="preserve">Pour chaque point : état actuel dans AVRA, faisabilité, effort et recommandation</w:t>
            </w:r>
          </w:p>
        </w:tc>
      </w:tr>
    </w:tbl>
    <w:p>
      <w:pPr>
        <w:spacing w:after="80" w:before="300"/>
      </w:pPr>
      <w:r>
        <w:rPr>
          <w:rFonts w:ascii="Arial" w:cs="Arial" w:eastAsia="Arial" w:hAnsi="Arial"/>
          <w:b/>
          <w:bCs/>
          <w:color w:val="304035"/>
          <w:sz w:val="22"/>
          <w:szCs w:val="22"/>
        </w:rPr>
        <w:t xml:space="preserve">Date 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27 mars 2026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304035"/>
          <w:sz w:val="22"/>
          <w:szCs w:val="22"/>
        </w:rPr>
        <w:t xml:space="preserve">Préparé par 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Esteve (CTO / Développement)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304035"/>
          <w:sz w:val="22"/>
          <w:szCs w:val="22"/>
        </w:rPr>
        <w:t xml:space="preserve">Destinataire 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Associé co-fondateur AVRA</w:t>
      </w:r>
    </w:p>
    <w:p>
      <w:r>
        <w:br w:type="page"/>
      </w:r>
    </w:p>
    <w:p>
      <w:pPr>
        <w:pStyle w:val="Heading1"/>
        <w:pBdr>
          <w:bottom w:val="single" w:color="C9A227" w:sz="4" w:space="4"/>
        </w:pBdr>
        <w:spacing w:after="200" w:before="480"/>
      </w:pPr>
      <w:r>
        <w:rPr>
          <w:rFonts w:ascii="Arial" w:cs="Arial" w:eastAsia="Arial" w:hAnsi="Arial"/>
          <w:b/>
          <w:bCs/>
          <w:color w:val="304035"/>
          <w:sz w:val="32"/>
          <w:szCs w:val="32"/>
        </w:rPr>
        <w:t xml:space="preserve">Tableau récapitulatif</w:t>
      </w:r>
    </w:p>
    <w:p>
      <w:pPr>
        <w:spacing w:after="2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Vue d’ensemble de chaque demande, son statut dans AVRA et l’effort estimé pour la réaliser.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9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040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Demande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040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Statut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040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Commentaire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04035"/>
                <w:sz w:val="21"/>
                <w:szCs w:val="21"/>
              </w:rPr>
              <w:t xml:space="preserve">1. Identité visuelle / Couleurs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2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 DÉCIDER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En attente des éléments graphiste — intégration possible directement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04035"/>
                <w:sz w:val="21"/>
                <w:szCs w:val="21"/>
              </w:rPr>
              <w:t xml:space="preserve">2. Modèle économique (commissions)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NOUVEAU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À modéliser — ne figure pas encore dans AVRA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04035"/>
                <w:sz w:val="21"/>
                <w:szCs w:val="21"/>
              </w:rPr>
              <w:t xml:space="preserve">3. Facturation électronique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CRITIQUE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Obligation légale 2026 — à prioriser absolument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04035"/>
                <w:sz w:val="21"/>
                <w:szCs w:val="21"/>
              </w:rPr>
              <w:t xml:space="preserve">4. Dossier administratif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PLANIFIÉ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Faisable — section dédiée dans la navigation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04035"/>
                <w:sz w:val="21"/>
                <w:szCs w:val="21"/>
              </w:rPr>
              <w:t xml:space="preserve">5. Sécurité plateforme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 COURS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Audit interne réalisé — rapport disponible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04035"/>
                <w:sz w:val="21"/>
                <w:szCs w:val="21"/>
              </w:rPr>
              <w:t xml:space="preserve">6. Cadre contractuel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URGENT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Bloquerait la phase test — à traiter avant fin avril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04035"/>
                <w:sz w:val="21"/>
                <w:szCs w:val="21"/>
              </w:rPr>
              <w:t xml:space="preserve">7. E-commerce / Stock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DÉPLOyÉ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Module Stock opérationnel dans AVRA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04035"/>
                <w:sz w:val="21"/>
                <w:szCs w:val="21"/>
              </w:rPr>
              <w:t xml:space="preserve">8. Logique commandes / Stats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2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PARTIEL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Structure à ajuster selon la logique décrite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04035"/>
                <w:sz w:val="21"/>
                <w:szCs w:val="21"/>
              </w:rPr>
              <w:t xml:space="preserve">9. Signature électronique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PLANIFIÉ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Intégration DocuSign / YouSign envisagée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04035"/>
                <w:sz w:val="21"/>
                <w:szCs w:val="21"/>
              </w:rPr>
              <w:t xml:space="preserve">10. IA — Rendu &amp; Assistant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888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FUTUR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V2 — hors scope V1, effort technique élevé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04035"/>
                <w:sz w:val="21"/>
                <w:szCs w:val="21"/>
              </w:rPr>
              <w:t xml:space="preserve">11. Rappels &amp; Suivi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2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PARTIEL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Système d’alertes existant — à renforcer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04035"/>
                <w:sz w:val="21"/>
                <w:szCs w:val="21"/>
              </w:rPr>
              <w:t xml:space="preserve">12. Winnerflex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888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 ATTENTE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Après validation V1 — ok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227" w:sz="4" w:space="4"/>
        </w:pBdr>
        <w:spacing w:after="200" w:before="480"/>
      </w:pPr>
      <w:r>
        <w:rPr>
          <w:rFonts w:ascii="Arial" w:cs="Arial" w:eastAsia="Arial" w:hAnsi="Arial"/>
          <w:b/>
          <w:bCs/>
          <w:color w:val="304035"/>
          <w:sz w:val="32"/>
          <w:szCs w:val="32"/>
        </w:rPr>
        <w:t xml:space="preserve">1. Identité visuelle</w:t>
      </w:r>
    </w:p>
    <w:p>
      <w:pPr>
        <w:spacing w:after="16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Ton associé a retravallé la carte de visite et le flyer avec les couleurs or + vert + chouette, et te pose la question : intègres-tu toi-même les nouveaux visuels ou est-ce que le graphiste prépare les éléments ?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04035"/>
          <w:sz w:val="26"/>
          <w:szCs w:val="26"/>
        </w:rPr>
        <w:t xml:space="preserve">Réponse recommandée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Option 1 — Intégration directe : Tu reçois les fichiers du graphiste (logo SVG/PNG, palette couleurs HEX, fonts) et tu les intègres toi-même dans AVRA. C'est le plus rapide.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Option 2 — Délégation partielle : Le graphiste exporte un guide de style (couleurs + typos) et tu mets à jour Tailwind (fichier tailwind.config.js) en conséquence.</w:t>
      </w:r>
    </w:p>
    <w:p>
      <w:pPr>
        <w:spacing w:after="80" w:before="12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Les couleurs actuelles de AVRA (#304035 vert, #a67749 or/bois) sont déjà cohérentes avec la charte décrite. Une mise à jour fine peut être faite en 1 jour si le graphiste fournit les HEX exacts.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04035"/>
          <w:sz w:val="26"/>
          <w:szCs w:val="26"/>
        </w:rPr>
        <w:t xml:space="preserve">Actions concrètes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Demander au graphiste : palette HEX complète + logo SVG haute définition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Mettre à jour tailwind.config.js avec les nouvelles couleurs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Remplacer le logo dans public/</w:t>
      </w:r>
    </w:p>
    <w:p>
      <w:r>
        <w:br w:type="page"/>
      </w:r>
    </w:p>
    <w:p>
      <w:pPr>
        <w:pStyle w:val="Heading1"/>
        <w:pBdr>
          <w:bottom w:val="single" w:color="C9A227" w:sz="4" w:space="4"/>
        </w:pBdr>
        <w:spacing w:after="200" w:before="480"/>
      </w:pPr>
      <w:r>
        <w:rPr>
          <w:rFonts w:ascii="Arial" w:cs="Arial" w:eastAsia="Arial" w:hAnsi="Arial"/>
          <w:b/>
          <w:bCs/>
          <w:color w:val="304035"/>
          <w:sz w:val="32"/>
          <w:szCs w:val="32"/>
        </w:rPr>
        <w:t xml:space="preserve">2. Modèle économique — Commissions apporteurs d’affaires</w:t>
      </w:r>
    </w:p>
    <w:p>
      <w:pPr>
        <w:spacing w:after="16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Proposition : créer un module de suivi des commissions mensuelles pour les apporteurs d’affaires (commerciaux, partenaires logiciels, etc.).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04035"/>
          <w:sz w:val="26"/>
          <w:szCs w:val="26"/>
        </w:rPr>
        <w:t xml:space="preserve">Ce que cela implique dans AVRA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Créer un espace dédié dans Paramètres → Apporteurs d’affaires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Chaque apporteur : nom, taux de commission (%), type (fixe / % CA)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Calcul automatique basé sur les dossiers signés liés à l’apporteur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Tableau de bord : commissions dues ce mois / payées / en attente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Génération d’un relevé mensuel exportable (PDF)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04035"/>
          <w:sz w:val="26"/>
          <w:szCs w:val="26"/>
        </w:rPr>
        <w:t xml:space="preserve">Effort estimé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3 à 5 jours de développement. À intégrer en V1.5 après validation de la base.</w:t>
      </w:r>
    </w:p>
    <w:p>
      <w:pPr>
        <w:spacing w:before="200"/>
      </w:pPr>
      <w:r>
        <w:br w:type="page"/>
      </w:r>
    </w:p>
    <w:p>
      <w:pPr>
        <w:pStyle w:val="Heading1"/>
        <w:pBdr>
          <w:bottom w:val="single" w:color="C9A227" w:sz="4" w:space="4"/>
        </w:pBdr>
        <w:spacing w:after="200" w:before="480"/>
      </w:pPr>
      <w:r>
        <w:rPr>
          <w:rFonts w:ascii="Arial" w:cs="Arial" w:eastAsia="Arial" w:hAnsi="Arial"/>
          <w:b/>
          <w:bCs/>
          <w:color w:val="304035"/>
          <w:sz w:val="32"/>
          <w:szCs w:val="32"/>
        </w:rPr>
        <w:t xml:space="preserve">3. Facturation électronique</w:t>
      </w:r>
    </w:p>
    <w:p>
      <w:pPr>
        <w:spacing w:after="16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Point CRITIQUE. En France, la facturation électronique devient obligatoire pour toutes les entreprises assujetties à la TVA — grandes entreprises en 2024, PME/ETI dès 2026, toutes les entreprises en 2027.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04035"/>
          <w:sz w:val="26"/>
          <w:szCs w:val="26"/>
        </w:rPr>
        <w:t xml:space="preserve">Les deux options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Option A — Module externe intégré : s’appuyer sur une plateforme immatriculée PDP (ex. Chorus Pro, Yooz, Pennylane). AVRA envoie les données via API. Avantage : conformité garantie, effort moindre.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Option B — Développement interne : AVRA devient une PDP ou OD (Opérateur de Dématérialisation). Effort très élevé, certification obligatoire par la DGFiP. Non recommandé en V1.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04035"/>
          <w:sz w:val="26"/>
          <w:szCs w:val="26"/>
        </w:rPr>
        <w:t xml:space="preserve">Recommandation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/>
          <w:iCs/>
          <w:color w:val="C0392B"/>
          <w:sz w:val="22"/>
          <w:szCs w:val="22"/>
        </w:rPr>
        <w:t xml:space="preserve">Partir sur l’Option A avec intégration API Chorus Pro (gratuit, officiel). Estimer 5 jours de développement. Traiter AVANT le lancement commercial.</w:t>
      </w:r>
    </w:p>
    <w:p>
      <w:pPr>
        <w:spacing w:before="200"/>
      </w:pPr>
      <w:r>
        <w:br w:type="page"/>
      </w:r>
    </w:p>
    <w:p>
      <w:pPr>
        <w:pStyle w:val="Heading1"/>
        <w:pBdr>
          <w:bottom w:val="single" w:color="C9A227" w:sz="4" w:space="4"/>
        </w:pBdr>
        <w:spacing w:after="200" w:before="480"/>
      </w:pPr>
      <w:r>
        <w:rPr>
          <w:rFonts w:ascii="Arial" w:cs="Arial" w:eastAsia="Arial" w:hAnsi="Arial"/>
          <w:b/>
          <w:bCs/>
          <w:color w:val="304035"/>
          <w:sz w:val="32"/>
          <w:szCs w:val="32"/>
        </w:rPr>
        <w:t xml:space="preserve">4. Dossier administratif</w:t>
      </w:r>
    </w:p>
    <w:p>
      <w:pPr>
        <w:spacing w:after="16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Demande : créer un espace dédié aux documents de l’entreprise (KBIS, assurances, contrats fournisseurs, etc.) dans la navigation principale.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04035"/>
          <w:sz w:val="26"/>
          <w:szCs w:val="26"/>
        </w:rPr>
        <w:t xml:space="preserve">Concept proposé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Nouvel onglet dans la sidebar : entre "Gestion" et "IA/Assistant"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Arborescence par catégories : Juridique / Assurances / RH / Fournisseurs / Divers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Upload de fichiers (PDF, Word, images)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Recherche full-text dans les documents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04035"/>
          <w:sz w:val="26"/>
          <w:szCs w:val="26"/>
        </w:rPr>
        <w:t xml:space="preserve">Concernant la sécurité / sauvegarde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Risque piratage : moyen — les documents entreprise sont sensibles. Recommandation : chiffrement côté serveur + accès réservé rôle ADMIN.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Perte de données : prévoir des sauvegardes automatiques quotidiennes (base de données + stockage fichiers).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Sauvegarde : exportation ZIP possible à la demande depuis les Paramètres.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Ce module est réalisable en V1 avec un stockage local (disque VPS) ou via S3 (AWS/Cloudflare R2). Effort : 3 jours.</w:t>
      </w:r>
    </w:p>
    <w:p>
      <w:pPr>
        <w:spacing w:before="200"/>
      </w:pPr>
      <w:r>
        <w:br w:type="page"/>
      </w:r>
    </w:p>
    <w:p>
      <w:pPr>
        <w:pStyle w:val="Heading1"/>
        <w:pBdr>
          <w:bottom w:val="single" w:color="C9A227" w:sz="4" w:space="4"/>
        </w:pBdr>
        <w:spacing w:after="200" w:before="480"/>
      </w:pPr>
      <w:r>
        <w:rPr>
          <w:rFonts w:ascii="Arial" w:cs="Arial" w:eastAsia="Arial" w:hAnsi="Arial"/>
          <w:b/>
          <w:bCs/>
          <w:color w:val="304035"/>
          <w:sz w:val="32"/>
          <w:szCs w:val="32"/>
        </w:rPr>
        <w:t xml:space="preserve">5. Sécurité plateforme</w:t>
      </w:r>
    </w:p>
    <w:p>
      <w:pPr>
        <w:spacing w:after="16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Un audit de sécurité interne complet a déjà été réalisé (rapport disponible). Voici les points clés pour la phase test.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04035"/>
          <w:sz w:val="26"/>
          <w:szCs w:val="26"/>
        </w:rPr>
        <w:t xml:space="preserve">Avant la phase test clients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Audit de sécurité : réalisé en interne. Un audit externe (pentest) est recommandé avant toute ouverture publique — budget à prévoir.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Version test protégée : la solution la plus simple est d’activer un code d’accès sur la page de login (ex. middleware Next.js avec un mot de passe de démo). Effort : 2h.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Autre option : créer des comptes de test manuellement avec des identifiants partagés aux clients test.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04035"/>
          <w:sz w:val="26"/>
          <w:szCs w:val="26"/>
        </w:rPr>
        <w:t xml:space="preserve">Points déjà couverts dans AVRA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Authentification JWT / sessions sécurisées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Variables d’environnement pour les clés sensibles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HTTPS obligatoire en production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Validation côté serveur des entrées</w:t>
      </w:r>
    </w:p>
    <w:p>
      <w:pPr>
        <w:spacing w:before="200"/>
      </w:pPr>
      <w:r>
        <w:br w:type="page"/>
      </w:r>
    </w:p>
    <w:p>
      <w:pPr>
        <w:pStyle w:val="Heading1"/>
        <w:pBdr>
          <w:bottom w:val="single" w:color="C9A227" w:sz="4" w:space="4"/>
        </w:pBdr>
        <w:spacing w:after="200" w:before="480"/>
      </w:pPr>
      <w:r>
        <w:rPr>
          <w:rFonts w:ascii="Arial" w:cs="Arial" w:eastAsia="Arial" w:hAnsi="Arial"/>
          <w:b/>
          <w:bCs/>
          <w:color w:val="304035"/>
          <w:sz w:val="32"/>
          <w:szCs w:val="32"/>
        </w:rPr>
        <w:t xml:space="preserve">6. Cadre contractuel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22"/>
          <w:szCs w:val="22"/>
        </w:rPr>
        <w:t xml:space="preserve">Point URGENT. Sans contrat entre associés signé avant fin avril, il n’est pas possible de lancer AVRA même en phase test.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04035"/>
          <w:sz w:val="26"/>
          <w:szCs w:val="26"/>
        </w:rPr>
        <w:t xml:space="preserve">Points à couvrir dans le contrat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Répartition des parts (capital + droits de vote)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Clause de propriété intellectuelle (qui possède le code ?)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Rémunération et conditions de sortie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Prise de décision (rôles, veto)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Confidentialité et clause de non-concurrence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Conditions en cas de désaccord (arbitrage, rachat de parts)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La proposition jointe par ton associé doit être relue par un avocat spécialisé en droit des sociétés avant signature. Budget estimé : 500–800 €.</w:t>
      </w:r>
    </w:p>
    <w:p>
      <w:pPr>
        <w:spacing w:before="200"/>
      </w:pPr>
      <w:r>
        <w:br w:type="page"/>
      </w:r>
    </w:p>
    <w:p>
      <w:pPr>
        <w:pStyle w:val="Heading1"/>
        <w:pBdr>
          <w:bottom w:val="single" w:color="C9A227" w:sz="4" w:space="4"/>
        </w:pBdr>
        <w:spacing w:after="200" w:before="480"/>
      </w:pPr>
      <w:r>
        <w:rPr>
          <w:rFonts w:ascii="Arial" w:cs="Arial" w:eastAsia="Arial" w:hAnsi="Arial"/>
          <w:b/>
          <w:bCs/>
          <w:color w:val="304035"/>
          <w:sz w:val="32"/>
          <w:szCs w:val="32"/>
        </w:rPr>
        <w:t xml:space="preserve">7. E-commerce / Gestion de stock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Déjà intégré dans AVRA. Un module Stock est opérationnel.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04035"/>
          <w:sz w:val="26"/>
          <w:szCs w:val="26"/>
        </w:rPr>
        <w:t xml:space="preserve">Ce qui est déjà disponible dans AVRA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Catalogue stock avec articles, quantités, alertes de niveau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Gestion des commandes fournisseurs (statuts EN ATTENTE / CONFIRMÉE / LIVRÉE / ANNULÉE)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Suivi des intervenants et fournisseurs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Historique des mouvements de stock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04035"/>
          <w:sz w:val="26"/>
          <w:szCs w:val="26"/>
        </w:rPr>
        <w:t xml:space="preserve">À ajouter si nécessaire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E-boutique publique (vente en ligne) : non prévue en V1 — intégration Shopify ou WooCommerce possible via API en V2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Synchronisation stock en temps réel avec fournisseurs : à discuter selon les partenaires</w:t>
      </w:r>
    </w:p>
    <w:p>
      <w:pPr>
        <w:spacing w:before="200"/>
      </w:pPr>
      <w:r>
        <w:br w:type="page"/>
      </w:r>
    </w:p>
    <w:p>
      <w:pPr>
        <w:pStyle w:val="Heading1"/>
        <w:pBdr>
          <w:bottom w:val="single" w:color="C9A227" w:sz="4" w:space="4"/>
        </w:pBdr>
        <w:spacing w:after="200" w:before="480"/>
      </w:pPr>
      <w:r>
        <w:rPr>
          <w:rFonts w:ascii="Arial" w:cs="Arial" w:eastAsia="Arial" w:hAnsi="Arial"/>
          <w:b/>
          <w:bCs/>
          <w:color w:val="304035"/>
          <w:sz w:val="32"/>
          <w:szCs w:val="32"/>
        </w:rPr>
        <w:t xml:space="preserve">8. Logique Commandes &amp; Statistiques</w:t>
      </w:r>
    </w:p>
    <w:p>
      <w:pPr>
        <w:spacing w:after="16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Demande détaillée : restructurer les dossiers signés et connecter les confirmations validées aux statistiques.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04035"/>
          <w:sz w:val="26"/>
          <w:szCs w:val="26"/>
        </w:rPr>
        <w:t xml:space="preserve">Restructuration proposée (dossiers signés)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Renommer "Dossier signé" en 2 sous-dossiers 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Dossier Commandes (toutes les commandes)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Dossier Confirmations fournisseurs (avec date butoir commande + date butoir confirmation)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Dans "Confirmations" : créer un sous-dossier "Confirmations validées"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Seules les confirmations validées alimentent les statistiques AVRA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Exemple : électro en direct client → confirmation présente mais PAS dans "validées" → exclue des stats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04035"/>
          <w:sz w:val="26"/>
          <w:szCs w:val="26"/>
        </w:rPr>
        <w:t xml:space="preserve">Onglet Statistiques — nouvelle logique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Afficher un message IA : "Statistiques non disponibles — confirmations insuffisantes" si le dossier est vide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Interface en deux colonnes 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À gauche : liste des confirmations validées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À droite : Assistant AVRA avec analyse automatique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AVRA analyse les documents et propose automatiquement les prix d’achat par marque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 professionnel valide ou modifie les prix proposés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04035"/>
          <w:sz w:val="26"/>
          <w:szCs w:val="26"/>
        </w:rPr>
        <w:t xml:space="preserve">Effort estimé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2–3 jours pour restructurer la logique de dossiers. 4–5 jours pour l’intégration IA des prix. Total : 1 semaine.</w:t>
      </w:r>
    </w:p>
    <w:p>
      <w:pPr>
        <w:spacing w:before="200"/>
      </w:pPr>
      <w:r>
        <w:br w:type="page"/>
      </w:r>
    </w:p>
    <w:p>
      <w:pPr>
        <w:pStyle w:val="Heading1"/>
        <w:pBdr>
          <w:bottom w:val="single" w:color="C9A227" w:sz="4" w:space="4"/>
        </w:pBdr>
        <w:spacing w:after="200" w:before="480"/>
      </w:pPr>
      <w:r>
        <w:rPr>
          <w:rFonts w:ascii="Arial" w:cs="Arial" w:eastAsia="Arial" w:hAnsi="Arial"/>
          <w:b/>
          <w:bCs/>
          <w:color w:val="304035"/>
          <w:sz w:val="32"/>
          <w:szCs w:val="32"/>
        </w:rPr>
        <w:t xml:space="preserve">9. Signature électronique</w:t>
      </w:r>
    </w:p>
    <w:p>
      <w:pPr>
        <w:spacing w:after="16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Intégration d’une solution de signature en ligne pour les devis. Possibilité d’y joindre des plans et perspectives.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04035"/>
          <w:sz w:val="26"/>
          <w:szCs w:val="26"/>
        </w:rPr>
        <w:t xml:space="preserve">Solutions envisagées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DocuSign : leader du marché, API robuste, prix élevé (∼45€/mois)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YouSign : solution française conforme eIDAS, prix plus abordable (∼25€/mois), recommandée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Universign : alternative française, tarif à l’acte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04035"/>
          <w:sz w:val="26"/>
          <w:szCs w:val="26"/>
        </w:rPr>
        <w:t xml:space="preserve">Flux proposé dans AVRA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Devis créé dans AVRA → bouton "Envoyer pour signature"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Documents joints possibles : devis + plans + perspectives visuelles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Lien de signature envoyé au client par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Signature collectée → statut devis passe automatiquement à "ACCEPTÉ"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PDF signé archivé dans le dossier client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04035"/>
          <w:sz w:val="26"/>
          <w:szCs w:val="26"/>
        </w:rPr>
        <w:t xml:space="preserve">Effort estimé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3 jours d’intégration API YouSign + UI dans AVRA. À prévoir en V1 si possible, sinon V1.5.</w:t>
      </w:r>
    </w:p>
    <w:p>
      <w:pPr>
        <w:spacing w:before="200"/>
      </w:pPr>
      <w:r>
        <w:br w:type="page"/>
      </w:r>
    </w:p>
    <w:p>
      <w:pPr>
        <w:pStyle w:val="Heading1"/>
        <w:pBdr>
          <w:bottom w:val="single" w:color="C9A227" w:sz="4" w:space="4"/>
        </w:pBdr>
        <w:spacing w:after="200" w:before="480"/>
      </w:pPr>
      <w:r>
        <w:rPr>
          <w:rFonts w:ascii="Arial" w:cs="Arial" w:eastAsia="Arial" w:hAnsi="Arial"/>
          <w:b/>
          <w:bCs/>
          <w:color w:val="304035"/>
          <w:sz w:val="32"/>
          <w:szCs w:val="32"/>
        </w:rPr>
        <w:t xml:space="preserve">10. IA — Rendu visuel &amp; Assistant intelligent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i w:val="false"/>
          <w:iCs w:val="false"/>
          <w:color w:val="888888"/>
          <w:sz w:val="22"/>
          <w:szCs w:val="22"/>
        </w:rPr>
        <w:t xml:space="preserve">Deux axes ambitieux identifiés. Important : ces fonctionnalités sont typiques d’une V2. L’effort technique est très élevé.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04035"/>
          <w:sz w:val="26"/>
          <w:szCs w:val="26"/>
        </w:rPr>
        <w:t xml:space="preserve">Axe 1 — Rendu visuel réaliste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Rendu 3D réaliste des projets (cuisine, dressing,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Modification des façades par texte ("change les façades en noir") — nécessite un LLM + moteur 3D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Upload d’une texture → applique automatiquement sur le modèle 3D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Technologies requises : Three.js/Babylon.js (rendu 3D), ControlNet ou API Stable Diffusion (textures), GPT-4V (commandes texte). Effort : 4–6 semaines minimum.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04035"/>
          <w:sz w:val="26"/>
          <w:szCs w:val="26"/>
        </w:rPr>
        <w:t xml:space="preserve">Axe 2 — Assistant vocal &amp; intelligence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Commandes vocales ("Avra, rappelle-moi de faire ça")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Intégration automatique dans le planning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Relance si action non traitée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Technologies : Web Speech API (voix), LLM (GPT-4 ou Claude API), système de tâches planifiées. L’assistant texte est déjà partiellement disponible dans AVRA. La partie vocale est une extension V2.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04035"/>
          <w:sz w:val="26"/>
          <w:szCs w:val="26"/>
        </w:rPr>
        <w:t xml:space="preserve">Recommandation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304035"/>
          <w:sz w:val="22"/>
          <w:szCs w:val="22"/>
        </w:rPr>
        <w:t xml:space="preserve">Prévoir ces fonctionnalités dans la roadmap V2. En V1, consolider l’assistant texte existant.</w:t>
      </w:r>
    </w:p>
    <w:p>
      <w:pPr>
        <w:spacing w:before="200"/>
      </w:pPr>
      <w:r>
        <w:br w:type="page"/>
      </w:r>
    </w:p>
    <w:p>
      <w:pPr>
        <w:pStyle w:val="Heading1"/>
        <w:pBdr>
          <w:bottom w:val="single" w:color="C9A227" w:sz="4" w:space="4"/>
        </w:pBdr>
        <w:spacing w:after="200" w:before="480"/>
      </w:pPr>
      <w:r>
        <w:rPr>
          <w:rFonts w:ascii="Arial" w:cs="Arial" w:eastAsia="Arial" w:hAnsi="Arial"/>
          <w:b/>
          <w:bCs/>
          <w:color w:val="304035"/>
          <w:sz w:val="32"/>
          <w:szCs w:val="32"/>
        </w:rPr>
        <w:t xml:space="preserve">11. Rappels &amp; Suivi des actions</w:t>
      </w:r>
    </w:p>
    <w:p>
      <w:pPr>
        <w:spacing w:after="16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Point crucial selon l’associé : l’assistant doit être vraiment fiable sur les rappels, oublis et actions non traitées.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04035"/>
          <w:sz w:val="26"/>
          <w:szCs w:val="26"/>
        </w:rPr>
        <w:t xml:space="preserve">Ce qui existe déjà dans AVRA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Système d’alertes (tableau de bord, alertes d’urgence)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Relances automatiques configurable dans Paramètres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Historique de toutes les actions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04035"/>
          <w:sz w:val="26"/>
          <w:szCs w:val="26"/>
        </w:rPr>
        <w:t xml:space="preserve">Améliorations à apporter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Notifications browser (push) quand une action est en retard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Badge sur l’icône de la section concernée (dossier, devis, commande)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Colonne "Actions à faire" dans le tableau de bord — liste des urgences du jour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Escalade automatique : si non traité sous 48h, alèrte niveau supérieur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Intégration avec le planning : chaque rappel crée automatiquement un événement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04035"/>
          <w:sz w:val="26"/>
          <w:szCs w:val="26"/>
        </w:rPr>
        <w:t xml:space="preserve">Effort estimé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2–3 jours pour renforcer le système de rappels existant. Réalisable en V1.</w:t>
      </w:r>
    </w:p>
    <w:p>
      <w:pPr>
        <w:spacing w:before="200"/>
      </w:pPr>
      <w:r>
        <w:br w:type="page"/>
      </w:r>
    </w:p>
    <w:p>
      <w:pPr>
        <w:pStyle w:val="Heading1"/>
        <w:pBdr>
          <w:bottom w:val="single" w:color="C9A227" w:sz="4" w:space="4"/>
        </w:pBdr>
        <w:spacing w:after="200" w:before="480"/>
      </w:pPr>
      <w:r>
        <w:rPr>
          <w:rFonts w:ascii="Arial" w:cs="Arial" w:eastAsia="Arial" w:hAnsi="Arial"/>
          <w:b/>
          <w:bCs/>
          <w:color w:val="304035"/>
          <w:sz w:val="32"/>
          <w:szCs w:val="32"/>
        </w:rPr>
        <w:t xml:space="preserve">12. Winnerflex</w:t>
      </w:r>
    </w:p>
    <w:p>
      <w:pPr>
        <w:spacing w:after="16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Prévu : envoyer un email à Winnerflex après validation de la V1 et test interne réussi.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04035"/>
          <w:sz w:val="26"/>
          <w:szCs w:val="26"/>
        </w:rPr>
        <w:t xml:space="preserve">Stratégie recommandée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Attendre la V1 stable + test client (fin avril si possible)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Préparer une démo courte (15 min) centrée sur les fonctionnalités métier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Mettre en avant : gestion de dossiers, facturation, planning, 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Proposer une période d’essai / accès partenaire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Action : prévoir un email de contact en mai 2026.</w:t>
      </w:r>
    </w:p>
    <w:p>
      <w:pPr>
        <w:spacing w:before="200"/>
      </w:pPr>
      <w:r>
        <w:br w:type="page"/>
      </w:r>
    </w:p>
    <w:p>
      <w:pPr>
        <w:pStyle w:val="Heading1"/>
        <w:pBdr>
          <w:bottom w:val="single" w:color="C9A227" w:sz="4" w:space="4"/>
        </w:pBdr>
        <w:spacing w:after="200" w:before="480"/>
      </w:pPr>
      <w:r>
        <w:rPr>
          <w:rFonts w:ascii="Arial" w:cs="Arial" w:eastAsia="Arial" w:hAnsi="Arial"/>
          <w:b/>
          <w:bCs/>
          <w:color w:val="304035"/>
          <w:sz w:val="32"/>
          <w:szCs w:val="32"/>
        </w:rPr>
        <w:t xml:space="preserve">Roadmap recommandée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04035"/>
          <w:sz w:val="26"/>
          <w:szCs w:val="26"/>
        </w:rPr>
        <w:t xml:space="preserve">Avant le 30 avril 2026 (V1 — phase test)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Contrat associés signé — BLOQUANT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Facturation électronique (Chorus Pro) — CRITIQUE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Protection accès version de test (code d’accès ou comptes démo)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Restructuration logique commandes / stats (point 8)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Renforcement système de rappels (point 11)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Intégration identité visuelle dès réception éléments graphiste (point 1)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04035"/>
          <w:sz w:val="26"/>
          <w:szCs w:val="26"/>
        </w:rPr>
        <w:t xml:space="preserve">Mai – Juin 2026 (V1.5 — améliorations)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Dossier administratif (point 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Signature électronique YouSign (point 9)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Module commissions apporteurs d’affaires (point 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Contact Winnerflex (point 12)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04035"/>
          <w:sz w:val="26"/>
          <w:szCs w:val="26"/>
        </w:rPr>
        <w:t xml:space="preserve">Second semestre 2026 (V2 — intelligence)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IA rendu visuel 3D (point 10 — axe 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Assistant vocal (point 10 — axe 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Audit de sécurité externe (pentest) avant ouverture grand public</w:t>
      </w: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— Fin du document —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227" w:sz="2" w:space="2"/>
      </w:pBdr>
      <w:tabs>
        <w:tab w:val="2" w:pos="9026"/>
      </w:tabs>
      <w:spacing w:before="100"/>
    </w:pPr>
    <w:r>
      <w:rPr>
        <w:rFonts w:ascii="Arial" w:cs="Arial" w:eastAsia="Arial" w:hAnsi="Arial"/>
        <w:color w:val="999999"/>
        <w:sz w:val="18"/>
        <w:szCs w:val="18"/>
      </w:rPr>
      <w:t xml:space="preserve">AVRA © 2026 — Document interne confidentiel</w:t>
    </w:r>
    <w:r>
      <w:rPr>
        <w:rFonts w:ascii="Arial" w:cs="Arial" w:eastAsia="Arial" w:hAnsi="Arial"/>
        <w:color w:val="999999"/>
        <w:sz w:val="18"/>
        <w:szCs w:val="18"/>
      </w:rPr>
      <w:t xml:space="preserve">	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227" w:sz="2" w:space="2"/>
      </w:pBdr>
      <w:tabs>
        <w:tab w:val="2" w:pos="9026"/>
      </w:tabs>
      <w:spacing w:after="100"/>
    </w:pPr>
    <w:r>
      <w:rPr>
        <w:rFonts w:ascii="Arial" w:cs="Arial" w:eastAsia="Arial" w:hAnsi="Arial"/>
        <w:b/>
        <w:bCs/>
        <w:color w:val="304035"/>
        <w:sz w:val="22"/>
        <w:szCs w:val="22"/>
      </w:rPr>
      <w:t xml:space="preserve">AVRA</w:t>
    </w:r>
    <w:r>
      <w:rPr>
        <w:rFonts w:ascii="Arial" w:cs="Arial" w:eastAsia="Arial" w:hAnsi="Arial"/>
        <w:color w:val="888888"/>
        <w:sz w:val="20"/>
        <w:szCs w:val="20"/>
      </w:rPr>
      <w:t xml:space="preserve">  —  Analyse des demandes associé — Confidentiel</w:t>
    </w:r>
    <w:r>
      <w:rPr>
        <w:rFonts w:ascii="Arial" w:cs="Arial" w:eastAsia="Arial" w:hAnsi="Arial"/>
        <w:color w:val="888888"/>
        <w:sz w:val="20"/>
        <w:szCs w:val="20"/>
      </w:rPr>
      <w:t xml:space="preserve">	Mars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9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30403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30403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2026-03-27T19:46:56.896Z</dcterms:created>
  <dcterms:modified xsi:type="dcterms:W3CDTF">2026-03-27T19:46:56.897Z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