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F4C81"/>
          <w:spacing w:val="200"/>
          <w:sz w:val="28"/>
          <w:szCs w:val="28"/>
        </w:rPr>
        <w:t xml:space="preserve">PROPOSAL</w:t>
      </w:r>
    </w:p>
    <w:p>
      <w:pPr>
        <w:spacing w:after="480"/>
        <w:jc w:val="center"/>
      </w:pPr>
      <w:r>
        <w:rPr>
          <w:rFonts w:ascii="Georgia" w:cs="Georgia" w:eastAsia="Georgia" w:hAnsi="Georgia"/>
          <w:b/>
          <w:bCs/>
          <w:color w:val="0A1F35"/>
          <w:sz w:val="64"/>
          <w:szCs w:val="64"/>
        </w:rPr>
        <w:t xml:space="preserve">Lumen Eye Care</w:t>
      </w:r>
    </w:p>
    <w:p>
      <w:pPr>
        <w:spacing w:after="720"/>
        <w:jc w:val="center"/>
      </w:pPr>
      <w:r>
        <w:rPr>
          <w:rFonts w:ascii="Georgia" w:cs="Georgia" w:eastAsia="Georgia" w:hAnsi="Georgia"/>
          <w:i/>
          <w:iCs/>
          <w:color w:val="0F4C81"/>
          <w:sz w:val="36"/>
          <w:szCs w:val="36"/>
        </w:rPr>
        <w:t xml:space="preserve">v1 Launch Site</w:t>
      </w:r>
    </w:p>
    <w:p>
      <w:pPr>
        <w:spacing w:after="120" w:before="1200"/>
        <w:jc w:val="center"/>
      </w:pPr>
      <w:r>
        <w:rPr>
          <w:color w:val="808080"/>
          <w:spacing w:val="100"/>
          <w:sz w:val="18"/>
          <w:szCs w:val="18"/>
        </w:rPr>
        <w:t xml:space="preserve">Prepared for</w:t>
      </w:r>
    </w:p>
    <w:p>
      <w:pPr>
        <w:spacing w:after="360"/>
        <w:jc w:val="center"/>
      </w:pPr>
      <w:r>
        <w:rPr>
          <w:b/>
          <w:bCs/>
          <w:color w:val="0A1F35"/>
          <w:sz w:val="24"/>
          <w:szCs w:val="24"/>
        </w:rPr>
        <w:t xml:space="preserve">Charity Adomah Sasu, Lumen Eye Care</w:t>
      </w:r>
    </w:p>
    <w:p>
      <w:pPr>
        <w:spacing w:after="120"/>
        <w:jc w:val="center"/>
      </w:pPr>
      <w:r>
        <w:rPr>
          <w:color w:val="808080"/>
          <w:spacing w:val="100"/>
          <w:sz w:val="18"/>
          <w:szCs w:val="18"/>
        </w:rPr>
        <w:t xml:space="preserve">Prepared by</w:t>
      </w:r>
    </w:p>
    <w:p>
      <w:pPr>
        <w:spacing w:after="360"/>
        <w:jc w:val="center"/>
      </w:pPr>
      <w:r>
        <w:rPr>
          <w:b/>
          <w:bCs/>
          <w:color w:val="0A1F35"/>
          <w:sz w:val="24"/>
          <w:szCs w:val="24"/>
        </w:rPr>
        <w:t xml:space="preserve">Bryan &amp; Etornam</w:t>
      </w:r>
    </w:p>
    <w:p>
      <w:pPr>
        <w:spacing w:after="120"/>
        <w:jc w:val="center"/>
      </w:pPr>
      <w:r>
        <w:rPr>
          <w:color w:val="0A1F35"/>
          <w:sz w:val="20"/>
          <w:szCs w:val="20"/>
        </w:rPr>
        <w:t xml:space="preserve">Contact: +233 55 884 2505 / +233 24 562 8432</w:t>
      </w:r>
    </w:p>
    <w:p>
      <w:pPr>
        <w:spacing w:after="60" w:before="720"/>
        <w:jc w:val="center"/>
      </w:pPr>
      <w:r>
        <w:rPr>
          <w:color w:val="0A1F35"/>
          <w:sz w:val="20"/>
          <w:szCs w:val="20"/>
        </w:rPr>
        <w:t xml:space="preserve">Issued 29 May 2026</w:t>
      </w:r>
    </w:p>
    <w:p>
      <w:pPr>
        <w:spacing w:after="60"/>
        <w:jc w:val="center"/>
      </w:pPr>
      <w:r>
        <w:rPr>
          <w:color w:val="0A1F35"/>
          <w:sz w:val="20"/>
          <w:szCs w:val="20"/>
        </w:rPr>
        <w:t xml:space="preserve">Valid until 28 June 2026</w:t>
      </w:r>
    </w:p>
    <w:p>
      <w:pPr>
        <w:spacing w:after="60"/>
        <w:jc w:val="center"/>
      </w:pPr>
      <w:r>
        <w:rPr>
          <w:color w:val="0A1F35"/>
          <w:sz w:val="20"/>
          <w:szCs w:val="20"/>
        </w:rPr>
        <w:t xml:space="preserve">Document version: v3</w:t>
      </w:r>
    </w:p>
    <w:p>
      <w:pPr>
        <w:spacing w:after="0" w:before="1200"/>
        <w:jc w:val="center"/>
      </w:pPr>
      <w:r>
        <w:rPr>
          <w:i/>
          <w:iCs/>
          <w:color w:val="808080"/>
          <w:sz w:val="16"/>
          <w:szCs w:val="16"/>
        </w:rPr>
        <w:t xml:space="preserve">Confidential. This proposal contains commercial information shared between Lumen Eye Care and Bryan &amp; Etornam and is not for redistribution.</w:t>
      </w:r>
    </w:p>
    <w:p>
      <w:r>
        <w:br w:type="page"/>
      </w:r>
    </w:p>
    <w:p>
      <w:pPr>
        <w:pStyle w:val="Heading1"/>
      </w:pPr>
      <w:r>
        <w:t xml:space="preserve">1. Executive Summary</w:t>
      </w:r>
    </w:p>
    <w:p>
      <w:pPr>
        <w:spacing w:after="120" w:line="300"/>
      </w:pPr>
      <w:r>
        <w:t xml:space="preserve">Lumen Eye Care launches its inaugural frames collection in the </w:t>
      </w:r>
      <w:r>
        <w:rPr>
          <w:b/>
          <w:bCs/>
        </w:rPr>
        <w:t xml:space="preserve">2nd week of July 2026</w:t>
      </w:r>
      <w:r>
        <w:t xml:space="preserve">. This proposal scopes the v1 launch site for that release — a polished, Ghana-mobile-first e-commerce and brand-experience site that puts the collection in front of customers, takes orders and accepts payment via MTN Mobile Money, Telecel Cash, AT Money, card, and Cash on Delivery, and signals the broader Lumen experience layer (partner clinics, lens consultation, brand journal) without requiring Lumen to operate the full healthtech surface on day one.</w:t>
      </w:r>
    </w:p>
    <w:p>
      <w:pPr>
        <w:spacing w:after="120" w:line="300"/>
      </w:pPr>
      <w:r>
        <w:t xml:space="preserve">The engagement is scoped to the full Claude Design prototype, organised into three delivery tiers with structured checkpoints. </w:t>
      </w:r>
      <w:r>
        <w:rPr>
          <w:b/>
          <w:bCs/>
        </w:rPr>
        <w:t xml:space="preserve">Tier 1</w:t>
      </w:r>
      <w:r>
        <w:t xml:space="preserve"> is the must-ship core. </w:t>
      </w:r>
      <w:r>
        <w:rPr>
          <w:b/>
          <w:bCs/>
        </w:rPr>
        <w:t xml:space="preserve">Tier 2</w:t>
      </w:r>
      <w:r>
        <w:t xml:space="preserve"> is the standard experience layer. </w:t>
      </w:r>
      <w:r>
        <w:rPr>
          <w:b/>
          <w:bCs/>
        </w:rPr>
        <w:t xml:space="preserve">Tier 3</w:t>
      </w:r>
      <w:r>
        <w:t xml:space="preserve"> is the stretch surface. At the Week 5 checkpoint we confirm Tier 3 status; anything at risk descopes to v1.5 / v2 by mechanical rule, not renegotiation — protecting the launch date without renegotiating the contract mid-build.</w:t>
      </w:r>
    </w:p>
    <w:p>
      <w:pPr>
        <w:spacing w:after="120" w:line="300"/>
      </w:pPr>
      <w:r>
        <w:rPr>
          <w:b/>
          <w:bCs/>
        </w:rPr>
        <w:t xml:space="preserve">Total investment: </w:t>
      </w:r>
      <w:r>
        <w:t xml:space="preserve">GHS 3,300, taxes inclusive, paid across three GHS 1,100 milestones. </w:t>
      </w:r>
      <w:r>
        <w:rPr>
          <w:b/>
          <w:bCs/>
        </w:rPr>
        <w:t xml:space="preserve">Launch: </w:t>
      </w:r>
      <w:r>
        <w:t xml:space="preserve">2nd week of July 2026. </w:t>
      </w:r>
      <w:r>
        <w:rPr>
          <w:b/>
          <w:bCs/>
        </w:rPr>
        <w:t xml:space="preserve">Why us: </w:t>
      </w:r>
      <w:r>
        <w:t xml:space="preserve">we built the proposal around the prototype your design partner produced, so the engagement starts with shared visual language and ends with code that ships what you have already seen.</w:t>
      </w:r>
    </w:p>
    <w:p>
      <w:pPr>
        <w:pStyle w:val="Heading1"/>
      </w:pPr>
      <w:r>
        <w:t xml:space="preserve">2. Understanding of the Brief</w:t>
      </w:r>
    </w:p>
    <w:p>
      <w:pPr>
        <w:spacing w:after="120" w:line="300"/>
      </w:pPr>
      <w:r>
        <w:t xml:space="preserve">Lumen Eye Care is a Ghana-based eyewear brand launching its inaugural frames collection in July 2026. You own the brand and its inventory, ship orders yourself from a home studio via Yango Delivery, and are building collaborations with independent optical clinics that will host fittings (and, in time, clinical exams) for Lumen customers. The brand positions itself as premium and experience-led — a deliberate contrast to the transactional norm for eyewear in the Ghanaian market.</w:t>
      </w:r>
    </w:p>
    <w:p>
      <w:pPr>
        <w:spacing w:after="120" w:line="300"/>
      </w:pPr>
      <w:r>
        <w:t xml:space="preserve">The v1 build covered by this proposal is the launch website. It needs to put the collection in front of customers in a credible, polished way; take orders and accept payment; and signal the broader Lumen experience (clinic partnerships, lens consultation, brand journal) without committing the business to operating that full experience on day one.</w:t>
      </w:r>
    </w:p>
    <w:p>
      <w:pPr>
        <w:spacing w:after="120" w:line="300"/>
      </w:pPr>
      <w:r>
        <w:t xml:space="preserve">Specifically, v1 is scoped to a Home page introducing the brand and the collection; a Shop page for the launch SKUs; a Frame Detail page per SKU with a four-step lens customization builder; a Lens Quiz for recommendations; a Virtual Try-On surface for browser-based fitting; a Checkout flow accepting Mobile Money and card via Paystack with Cash on Delivery as a manual option; an Account area showing orders, appointments, prescriptions, and addresses; a Partner Clinics directory; a Journal index and articles; and on-platform prescription upload with WhatsApp as a secondary channel for customers who prefer it.</w:t>
      </w:r>
    </w:p>
    <w:p>
      <w:pPr>
        <w:spacing w:after="120" w:line="300"/>
      </w:pPr>
      <w:r>
        <w:t xml:space="preserve">The build operates against a favor-tier budget envelope of GHS 3,300 covering external technical resources only, with development labor contributed by </w:t>
      </w:r>
      <w:r>
        <w:t xml:space="preserve">Bryan &amp; Etornam</w:t>
      </w:r>
      <w:r>
        <w:t xml:space="preserve">. Because scope is wider than budget would conventionally support, we are structuring delivery in three feature tiers with checkpoint-driven fallback rules — so the launch date is protected even if individual features prove harder than estimated during the build.</w:t>
      </w:r>
    </w:p>
    <w:p>
      <w:pPr>
        <w:pStyle w:val="Heading1"/>
      </w:pPr>
      <w:r>
        <w:t xml:space="preserve">3. Proposed Solution — Approach</w:t>
      </w:r>
    </w:p>
    <w:p>
      <w:pPr>
        <w:spacing w:after="120" w:line="300"/>
      </w:pPr>
      <w:r>
        <w:rPr>
          <w:i/>
          <w:iCs/>
        </w:rPr>
        <w:t xml:space="preserve">Why this approach: tiered scope with checkpoint-driven fallback turns scope risk into a structured engineering practice, not a renegotiation. The launch date is protected; the scope is honest.</w:t>
      </w:r>
    </w:p>
    <w:p>
      <w:pPr>
        <w:pStyle w:val="Heading2"/>
      </w:pPr>
      <w:r>
        <w:t xml:space="preserve">Phase 1 — Sprint 0: Setup &amp; account onboarding</w:t>
      </w:r>
    </w:p>
    <w:p>
      <w:pPr>
        <w:spacing w:after="120" w:line="300"/>
      </w:pPr>
      <w:r>
        <w:rPr>
          <w:b/>
          <w:bCs/>
        </w:rPr>
        <w:t xml:space="preserve">Week 1 (1 June – 7 June). Duration: ~5 working days.</w:t>
      </w:r>
    </w:p>
    <w:p>
      <w:pPr>
        <w:spacing w:after="120" w:line="300"/>
      </w:pPr>
      <w:r>
        <w:t xml:space="preserve">Get the foundation in place: register the domain (your choice of .com / .com.gh / .gh), create founder-owned accounts at Vercel, Supabase, Paystack (as a Starter business pending Registered upgrade once registration completes), and Resend; scaffold the Next.js project; port the Claude Design design tokens (typography, color, spacing scale) into the codebase; configure CI to Vercel preview deploys; agree the staging URL.</w:t>
      </w:r>
    </w:p>
    <w:p>
      <w:pPr>
        <w:spacing w:after="120" w:line="300"/>
      </w:pPr>
      <w:r>
        <w:rPr>
          <w:b/>
          <w:bCs/>
        </w:rPr>
        <w:t xml:space="preserve">Deliverable: </w:t>
      </w:r>
      <w:r>
        <w:t xml:space="preserve">working scaffold deployed to a staging URL; first commit of the Tier 1 shell.</w:t>
      </w:r>
    </w:p>
    <w:p>
      <w:pPr>
        <w:spacing w:after="120" w:line="300"/>
      </w:pPr>
      <w:r>
        <w:rPr>
          <w:b/>
          <w:bCs/>
        </w:rPr>
        <w:t xml:space="preserve">Founder dependency: </w:t>
      </w:r>
      <w:r>
        <w:t xml:space="preserve">brand assets, partner clinic list with addresses / phones / hours / services, refund and return policy text, About and Journal seed content, business-registration status update.</w:t>
      </w:r>
    </w:p>
    <w:p>
      <w:pPr>
        <w:pStyle w:val="Heading2"/>
      </w:pPr>
      <w:r>
        <w:t xml:space="preserve">Phase 2 — Sprint 1: Tier 1 core</w:t>
      </w:r>
    </w:p>
    <w:p>
      <w:pPr>
        <w:spacing w:after="120" w:line="300"/>
      </w:pPr>
      <w:r>
        <w:rPr>
          <w:b/>
          <w:bCs/>
        </w:rPr>
        <w:t xml:space="preserve">Weeks 2–3 (8 June – 21 June). Duration: ~10 working days.</w:t>
      </w:r>
    </w:p>
    <w:p>
      <w:pPr>
        <w:spacing w:after="120" w:line="300"/>
      </w:pPr>
      <w:r>
        <w:t xml:space="preserve">Ship the must-have commerce path end-to-end. Build Home, Shop, Frame Detail (without the lens builder), Checkout (MoMo and card via Paystack, plus Cash on Delivery), Account orders tab, and Auth (email and password). Wire the catalogue to Supabase Postgres. Implement the Ghana-defaults corrections: Telecel Cash and AT Money naming, +233 phone formatting, GhanaPostGPS address handling, E-Levy disclosure at the MoMo checkout step.</w:t>
      </w:r>
    </w:p>
    <w:p>
      <w:pPr>
        <w:spacing w:after="120" w:line="300"/>
      </w:pPr>
      <w:r>
        <w:rPr>
          <w:b/>
          <w:bCs/>
        </w:rPr>
        <w:t xml:space="preserve">Deliverable: </w:t>
      </w:r>
      <w:r>
        <w:t xml:space="preserve">Tier 1 shipping a real test transaction end-to-end against Paystack sandbox.</w:t>
      </w:r>
    </w:p>
    <w:p>
      <w:pPr>
        <w:spacing w:after="120" w:line="300"/>
      </w:pPr>
      <w:r>
        <w:rPr>
          <w:b/>
          <w:bCs/>
        </w:rPr>
        <w:t xml:space="preserve">Founder dependency: </w:t>
      </w:r>
      <w:r>
        <w:t xml:space="preserve">Paystack KYC submission (requires business registration), product photography uploaded, copy and descriptions per frame.</w:t>
      </w:r>
    </w:p>
    <w:p>
      <w:pPr>
        <w:pStyle w:val="Heading2"/>
      </w:pPr>
      <w:r>
        <w:t xml:space="preserve">Phase 3 — Sprint 2: Tier 2 experience</w:t>
      </w:r>
    </w:p>
    <w:p>
      <w:pPr>
        <w:spacing w:after="120" w:line="300"/>
      </w:pPr>
      <w:r>
        <w:rPr>
          <w:b/>
          <w:bCs/>
        </w:rPr>
        <w:t xml:space="preserve">Weeks 3–4 (15 June – 28 June). Duration: ~10 working days.</w:t>
      </w:r>
    </w:p>
    <w:p>
      <w:pPr>
        <w:spacing w:after="120" w:line="300"/>
      </w:pPr>
      <w:r>
        <w:t xml:space="preserve">Layer the standard experience surfaces onto the Tier 1 commerce. Partner Clinics directory (static); Appointment request form (scoped as a consultation request, not a medical-exam booking); Lens Quiz (5-question recommendation); on-platform encrypted prescription upload with signed-URL storage and a retention policy; WhatsApp prescription-channel link as a secondary option; order tracking surface; customer Account dashboard (orders + appointments + prescriptions + settings tabs); basic admin (orders list with mark-shipped action, frame catalogue CRUD).</w:t>
      </w:r>
    </w:p>
    <w:p>
      <w:pPr>
        <w:spacing w:after="120" w:line="300"/>
      </w:pPr>
      <w:r>
        <w:rPr>
          <w:b/>
          <w:bCs/>
        </w:rPr>
        <w:t xml:space="preserve">Deliverable: </w:t>
      </w:r>
      <w:r>
        <w:t xml:space="preserve">Tier 2 features integrated and reachable from the live shop.</w:t>
      </w:r>
    </w:p>
    <w:p>
      <w:pPr>
        <w:spacing w:after="120" w:line="300"/>
      </w:pPr>
      <w:r>
        <w:rPr>
          <w:b/>
          <w:bCs/>
        </w:rPr>
        <w:t xml:space="preserve">Founder dependency: </w:t>
      </w:r>
      <w:r>
        <w:t xml:space="preserve">DPC registration submitted; lens-fulfillment partner identified (or feature-flag decision made for the prescription-upload surface).</w:t>
      </w:r>
    </w:p>
    <w:p>
      <w:pPr>
        <w:pStyle w:val="Heading2"/>
      </w:pPr>
      <w:r>
        <w:t xml:space="preserve">Phase 4 — Week 5: Checkpoint, Tier 3 trigger, polish, soft launch</w:t>
      </w:r>
    </w:p>
    <w:p>
      <w:pPr>
        <w:spacing w:after="120" w:line="300"/>
      </w:pPr>
      <w:r>
        <w:rPr>
          <w:b/>
          <w:bCs/>
        </w:rPr>
        <w:t xml:space="preserve">Week 5 (29 June – 5 July). Duration: ~5 working days.</w:t>
      </w:r>
    </w:p>
    <w:p>
      <w:pPr>
        <w:spacing w:after="120" w:line="300"/>
      </w:pPr>
      <w:r>
        <w:t xml:space="preserve">Compressed checkpoint-and-polish week. We review Tier 1 + Tier 2 status against the launch date at the start of the week. If green, Tier 3 enters the build immediately and runs alongside polish. If amber, Tier 3 descopes to v1.5 with no renegotiation, and the week is reclaimed for polish and soft-launch buffer.</w:t>
      </w:r>
    </w:p>
    <w:p>
      <w:pPr>
        <w:spacing w:after="120" w:line="300"/>
      </w:pPr>
      <w:r>
        <w:rPr>
          <w:b/>
          <w:bCs/>
        </w:rPr>
        <w:t xml:space="preserve">Tier 3 if green: </w:t>
      </w:r>
      <w:r>
        <w:t xml:space="preserve">Virtual Try-On with photo upload and drag / resize / compare per the prototype; full four-step Lens Builder with live pricing at Frame Detail; Journal index and article-page template with three seed articles; full admin (appointments dashboard, low-stock alerts, basic analytics tiles).</w:t>
      </w:r>
    </w:p>
    <w:p>
      <w:pPr>
        <w:spacing w:after="120" w:line="300"/>
      </w:pPr>
      <w:r>
        <w:rPr>
          <w:b/>
          <w:bCs/>
        </w:rPr>
        <w:t xml:space="preserve">Polish (runs in parallel): </w:t>
      </w:r>
      <w:r>
        <w:t xml:space="preserve">cross-browser testing on Ghana-popular mid-range Android devices (Tecno / Infinix); Lighthouse mobile audit (target score ≥ 85); content QA; soft launch to a small group of your contacts; fix bugs surfaced in soft launch.</w:t>
      </w:r>
    </w:p>
    <w:p>
      <w:pPr>
        <w:spacing w:after="120" w:line="300"/>
      </w:pPr>
      <w:r>
        <w:rPr>
          <w:b/>
          <w:bCs/>
        </w:rPr>
        <w:t xml:space="preserve">Deliverable: </w:t>
      </w:r>
      <w:r>
        <w:t xml:space="preserve">production-ready build with a documented bug list (none blocking) and a passing mobile-performance audit. Confirmed Tier 3 status (in v1 or descoped to v1.5).</w:t>
      </w:r>
    </w:p>
    <w:p>
      <w:pPr>
        <w:pStyle w:val="Heading2"/>
      </w:pPr>
      <w:r>
        <w:t xml:space="preserve">Phase 5 — Launch &amp; handover</w:t>
      </w:r>
    </w:p>
    <w:p>
      <w:pPr>
        <w:spacing w:after="120" w:line="300"/>
      </w:pPr>
      <w:r>
        <w:rPr>
          <w:b/>
          <w:bCs/>
        </w:rPr>
        <w:t xml:space="preserve">Week 6 (2nd week of July 2026, 6 July – 12 July).</w:t>
      </w:r>
    </w:p>
    <w:p>
      <w:pPr>
        <w:spacing w:after="120" w:line="300"/>
      </w:pPr>
      <w:r>
        <w:t xml:space="preserve">DNS cutover, monitoring dashboard, launch-announcement coordination, handover document with credentials and a deployment runbook, change log. The 30-day defects warranty period begins on launch.</w:t>
      </w:r>
    </w:p>
    <w:p>
      <w:pPr>
        <w:spacing w:after="120" w:line="300"/>
      </w:pPr>
      <w:r>
        <w:rPr>
          <w:b/>
          <w:bCs/>
        </w:rPr>
        <w:t xml:space="preserve">Deliverable: </w:t>
      </w:r>
      <w:r>
        <w:t xml:space="preserve">public launch and the handover pack.</w:t>
      </w:r>
    </w:p>
    <w:p>
      <w:pPr>
        <w:spacing w:after="120" w:line="300"/>
      </w:pPr>
      <w:r>
        <w:rPr>
          <w:i/>
          <w:iCs/>
        </w:rPr>
        <w:t xml:space="preserve">Note on the compressed schedule: this is a 6-week build, one week tighter than the original framing. The Week 5 checkpoint is the structured release valve — if Tier 1+2 are not solid at start of Week 5, Tier 3 descopes and the week becomes pure polish + soft launch. Total launch risk is concentrated in Week 5, by design.</w:t>
      </w:r>
    </w:p>
    <w:p>
      <w:pPr>
        <w:pStyle w:val="Heading1"/>
      </w:pPr>
      <w:r>
        <w:t xml:space="preserve">4. Scope of Work — by Tier</w:t>
      </w:r>
    </w:p>
    <w:p>
      <w:pPr>
        <w:spacing w:after="120" w:line="300"/>
      </w:pPr>
      <w:r>
        <w:rPr>
          <w:i/>
          <w:iCs/>
        </w:rPr>
        <w:t xml:space="preserve">Tier 1 is contractually committed for v1. Tier 2 ships unless the Week 5 checkpoint shows risk. Tier 3 ships only if Tier 1 and Tier 2 are on track at Week 5.</w:t>
      </w:r>
    </w:p>
    <w:p>
      <w:pPr>
        <w:pStyle w:val="Heading2"/>
      </w:pPr>
      <w:r>
        <w:t xml:space="preserve">Tier 1 — Must ship (non-negotiable)</w:t>
      </w:r>
    </w:p>
    <w:p>
      <w:pPr>
        <w:pStyle w:val="ListParagraph"/>
        <w:numPr>
          <w:ilvl w:val="0"/>
          <w:numId w:val="2"/>
        </w:numPr>
        <w:spacing w:after="80" w:line="280"/>
      </w:pPr>
      <w:r>
        <w:t xml:space="preserve">Home page (hero, services teaser, featured frames, brand-story block).</w:t>
      </w:r>
    </w:p>
    <w:p>
      <w:pPr>
        <w:pStyle w:val="ListParagraph"/>
        <w:numPr>
          <w:ilvl w:val="0"/>
          <w:numId w:val="2"/>
        </w:numPr>
        <w:spacing w:after="80" w:line="280"/>
      </w:pPr>
      <w:r>
        <w:t xml:space="preserve">Shop page with category tabs, sidebar filters, sort, and active-filter chips.</w:t>
      </w:r>
    </w:p>
    <w:p>
      <w:pPr>
        <w:pStyle w:val="ListParagraph"/>
        <w:numPr>
          <w:ilvl w:val="0"/>
          <w:numId w:val="2"/>
        </w:numPr>
        <w:spacing w:after="80" w:line="280"/>
      </w:pPr>
      <w:r>
        <w:t xml:space="preserve">Frame Detail page with color picker, image gallery, and add-to-bag (lens builder not included in Tier 1).</w:t>
      </w:r>
    </w:p>
    <w:p>
      <w:pPr>
        <w:pStyle w:val="ListParagraph"/>
        <w:numPr>
          <w:ilvl w:val="0"/>
          <w:numId w:val="2"/>
        </w:numPr>
        <w:spacing w:after="80" w:line="280"/>
      </w:pPr>
      <w:r>
        <w:t xml:space="preserve">Checkout flow: delivery vs. partner-clinic pickup, Paystack (MoMo + card), Cash on Delivery as a manual option, address form with GhanaPostGPS optional field, E-Levy disclosure at the MoMo step.</w:t>
      </w:r>
    </w:p>
    <w:p>
      <w:pPr>
        <w:pStyle w:val="ListParagraph"/>
        <w:numPr>
          <w:ilvl w:val="0"/>
          <w:numId w:val="2"/>
        </w:numPr>
        <w:spacing w:after="80" w:line="280"/>
      </w:pPr>
      <w:r>
        <w:t xml:space="preserve">Customer Account — Orders tab.</w:t>
      </w:r>
    </w:p>
    <w:p>
      <w:pPr>
        <w:pStyle w:val="ListParagraph"/>
        <w:numPr>
          <w:ilvl w:val="0"/>
          <w:numId w:val="2"/>
        </w:numPr>
        <w:spacing w:after="80" w:line="280"/>
      </w:pPr>
      <w:r>
        <w:t xml:space="preserve">Auth: email and password via Supabase Auth, password-reset email via Resend.</w:t>
      </w:r>
    </w:p>
    <w:p>
      <w:pPr>
        <w:pStyle w:val="ListParagraph"/>
        <w:numPr>
          <w:ilvl w:val="0"/>
          <w:numId w:val="2"/>
        </w:numPr>
        <w:spacing w:after="80" w:line="280"/>
      </w:pPr>
      <w:r>
        <w:t xml:space="preserve">Partner Clinics directory page — static list with addresses, phones, hours, and services per clinic.</w:t>
      </w:r>
    </w:p>
    <w:p>
      <w:pPr>
        <w:pStyle w:val="ListParagraph"/>
        <w:numPr>
          <w:ilvl w:val="0"/>
          <w:numId w:val="2"/>
        </w:numPr>
        <w:spacing w:after="80" w:line="280"/>
      </w:pPr>
      <w:r>
        <w:t xml:space="preserve">Order-confirmation transactional email.</w:t>
      </w:r>
    </w:p>
    <w:p>
      <w:pPr>
        <w:pStyle w:val="Heading2"/>
      </w:pPr>
      <w:r>
        <w:t xml:space="preserve">Tier 2 — Standard (ships unless Week 5 checkpoint shows risk)</w:t>
      </w:r>
    </w:p>
    <w:p>
      <w:pPr>
        <w:pStyle w:val="ListParagraph"/>
        <w:numPr>
          <w:ilvl w:val="0"/>
          <w:numId w:val="2"/>
        </w:numPr>
        <w:spacing w:after="80" w:line="280"/>
      </w:pPr>
      <w:r>
        <w:t xml:space="preserve">Appointment request form (consultation request with a partner clinic; not a medical-exam booking).</w:t>
      </w:r>
    </w:p>
    <w:p>
      <w:pPr>
        <w:pStyle w:val="ListParagraph"/>
        <w:numPr>
          <w:ilvl w:val="0"/>
          <w:numId w:val="2"/>
        </w:numPr>
        <w:spacing w:after="80" w:line="280"/>
      </w:pPr>
      <w:r>
        <w:t xml:space="preserve">Lens Quiz — 5-step questionnaire returning a recommendation.</w:t>
      </w:r>
    </w:p>
    <w:p>
      <w:pPr>
        <w:pStyle w:val="ListParagraph"/>
        <w:numPr>
          <w:ilvl w:val="0"/>
          <w:numId w:val="2"/>
        </w:numPr>
        <w:spacing w:after="80" w:line="280"/>
      </w:pPr>
      <w:r>
        <w:t xml:space="preserve">On-platform prescription upload — encrypted at rest, private bucket, signed URLs, retention policy. (Public exposure of this feature is gated on the lens-fulfillment partner being named; see Open Items.)</w:t>
      </w:r>
    </w:p>
    <w:p>
      <w:pPr>
        <w:pStyle w:val="ListParagraph"/>
        <w:numPr>
          <w:ilvl w:val="0"/>
          <w:numId w:val="2"/>
        </w:numPr>
        <w:spacing w:after="80" w:line="280"/>
      </w:pPr>
      <w:r>
        <w:t xml:space="preserve">WhatsApp prescription-channel link as a secondary option.</w:t>
      </w:r>
    </w:p>
    <w:p>
      <w:pPr>
        <w:pStyle w:val="ListParagraph"/>
        <w:numPr>
          <w:ilvl w:val="0"/>
          <w:numId w:val="2"/>
        </w:numPr>
        <w:spacing w:after="80" w:line="280"/>
      </w:pPr>
      <w:r>
        <w:t xml:space="preserve">Order tracking surface — status updates from “placed” through “shipped.”</w:t>
      </w:r>
    </w:p>
    <w:p>
      <w:pPr>
        <w:pStyle w:val="ListParagraph"/>
        <w:numPr>
          <w:ilvl w:val="0"/>
          <w:numId w:val="2"/>
        </w:numPr>
        <w:spacing w:after="80" w:line="280"/>
      </w:pPr>
      <w:r>
        <w:t xml:space="preserve">Customer Account dashboard — Appointments tab + Prescriptions tab + Settings tab.</w:t>
      </w:r>
    </w:p>
    <w:p>
      <w:pPr>
        <w:pStyle w:val="ListParagraph"/>
        <w:numPr>
          <w:ilvl w:val="0"/>
          <w:numId w:val="2"/>
        </w:numPr>
        <w:spacing w:after="80" w:line="280"/>
      </w:pPr>
      <w:r>
        <w:t xml:space="preserve">Basic admin — orders list with mark-shipped action; frame catalogue CRUD (price / stock / photo).</w:t>
      </w:r>
    </w:p>
    <w:p>
      <w:pPr>
        <w:pStyle w:val="Heading2"/>
      </w:pPr>
      <w:r>
        <w:t xml:space="preserve">Tier 3 — Stretch (ships if Week 5 checkpoint is green)</w:t>
      </w:r>
    </w:p>
    <w:p>
      <w:pPr>
        <w:pStyle w:val="ListParagraph"/>
        <w:numPr>
          <w:ilvl w:val="0"/>
          <w:numId w:val="2"/>
        </w:numPr>
        <w:spacing w:after="80" w:line="280"/>
      </w:pPr>
      <w:r>
        <w:t xml:space="preserve">Virtual Try-On — photo upload with drag / resize / compare overlay per the prototype.</w:t>
      </w:r>
    </w:p>
    <w:p>
      <w:pPr>
        <w:pStyle w:val="ListParagraph"/>
        <w:numPr>
          <w:ilvl w:val="0"/>
          <w:numId w:val="2"/>
        </w:numPr>
        <w:spacing w:after="80" w:line="280"/>
      </w:pPr>
      <w:r>
        <w:t xml:space="preserve">Full 4-step Lens Builder at Frame Detail with live pricing (vision type → material → coatings → thickness).</w:t>
      </w:r>
    </w:p>
    <w:p>
      <w:pPr>
        <w:pStyle w:val="ListParagraph"/>
        <w:numPr>
          <w:ilvl w:val="0"/>
          <w:numId w:val="2"/>
        </w:numPr>
        <w:spacing w:after="80" w:line="280"/>
      </w:pPr>
      <w:r>
        <w:t xml:space="preserve">Journal index page + article-page template + 3 seed articles (founder provides text).</w:t>
      </w:r>
    </w:p>
    <w:p>
      <w:pPr>
        <w:pStyle w:val="ListParagraph"/>
        <w:numPr>
          <w:ilvl w:val="0"/>
          <w:numId w:val="2"/>
        </w:numPr>
        <w:spacing w:after="80" w:line="280"/>
      </w:pPr>
      <w:r>
        <w:t xml:space="preserve">Full admin — appointments dashboard, low-stock alerts, basic analytics tiles.</w:t>
      </w:r>
    </w:p>
    <w:p>
      <w:pPr>
        <w:pStyle w:val="Heading1"/>
      </w:pPr>
      <w:r>
        <w:t xml:space="preserve">5. Out of Scope (v1)</w:t>
      </w:r>
    </w:p>
    <w:p>
      <w:pPr>
        <w:spacing w:after="120" w:line="300"/>
      </w:pPr>
      <w:r>
        <w:t xml:space="preserve">The following are explicitly NOT included in v1 even if delivery proceeds smoothly. Any of them can be added later as a change order under the Commercial Terms section.</w:t>
      </w:r>
    </w:p>
    <w:p>
      <w:pPr>
        <w:pStyle w:val="ListParagraph"/>
        <w:numPr>
          <w:ilvl w:val="0"/>
          <w:numId w:val="3"/>
        </w:numPr>
        <w:spacing w:after="80" w:line="280"/>
      </w:pPr>
      <w:r>
        <w:t xml:space="preserve">Native iOS and Android apps. v1 is a responsive web app.</w:t>
      </w:r>
    </w:p>
    <w:p>
      <w:pPr>
        <w:pStyle w:val="ListParagraph"/>
        <w:numPr>
          <w:ilvl w:val="0"/>
          <w:numId w:val="3"/>
        </w:numPr>
        <w:spacing w:after="80" w:line="280"/>
      </w:pPr>
      <w:r>
        <w:t xml:space="preserve">Telemedicine or remote consultation features.</w:t>
      </w:r>
    </w:p>
    <w:p>
      <w:pPr>
        <w:pStyle w:val="ListParagraph"/>
        <w:numPr>
          <w:ilvl w:val="0"/>
          <w:numId w:val="3"/>
        </w:numPr>
        <w:spacing w:after="80" w:line="280"/>
      </w:pPr>
      <w:r>
        <w:t xml:space="preserve">NHIS or insurance integration of any kind.</w:t>
      </w:r>
    </w:p>
    <w:p>
      <w:pPr>
        <w:pStyle w:val="ListParagraph"/>
        <w:numPr>
          <w:ilvl w:val="0"/>
          <w:numId w:val="3"/>
        </w:numPr>
        <w:spacing w:after="80" w:line="280"/>
      </w:pPr>
      <w:r>
        <w:t xml:space="preserve">Multi-language UI (Twi / Ga / Ewe). English only for v1.</w:t>
      </w:r>
    </w:p>
    <w:p>
      <w:pPr>
        <w:pStyle w:val="ListParagraph"/>
        <w:numPr>
          <w:ilvl w:val="0"/>
          <w:numId w:val="3"/>
        </w:numPr>
        <w:spacing w:after="80" w:line="280"/>
      </w:pPr>
      <w:r>
        <w:t xml:space="preserve">Loyalty program, referral codes, gift cards.</w:t>
      </w:r>
    </w:p>
    <w:p>
      <w:pPr>
        <w:pStyle w:val="ListParagraph"/>
        <w:numPr>
          <w:ilvl w:val="0"/>
          <w:numId w:val="3"/>
        </w:numPr>
        <w:spacing w:after="80" w:line="280"/>
      </w:pPr>
      <w:r>
        <w:t xml:space="preserve">SMS notifications (Hubtel deferred to v1.5).</w:t>
      </w:r>
    </w:p>
    <w:p>
      <w:pPr>
        <w:pStyle w:val="ListParagraph"/>
        <w:numPr>
          <w:ilvl w:val="0"/>
          <w:numId w:val="3"/>
        </w:numPr>
        <w:spacing w:after="80" w:line="280"/>
      </w:pPr>
      <w:r>
        <w:t xml:space="preserve">Real AR try-on SDKs (Banuba, Jeeliz). The prototype-style overlay try-on is what ships if Tier 3 lands.</w:t>
      </w:r>
    </w:p>
    <w:p>
      <w:pPr>
        <w:pStyle w:val="ListParagraph"/>
        <w:numPr>
          <w:ilvl w:val="0"/>
          <w:numId w:val="3"/>
        </w:numPr>
        <w:spacing w:after="80" w:line="280"/>
      </w:pPr>
      <w:r>
        <w:t xml:space="preserve">OCR or AI processing of prescription images.</w:t>
      </w:r>
    </w:p>
    <w:p>
      <w:pPr>
        <w:pStyle w:val="ListParagraph"/>
        <w:numPr>
          <w:ilvl w:val="0"/>
          <w:numId w:val="3"/>
        </w:numPr>
        <w:spacing w:after="80" w:line="280"/>
      </w:pPr>
      <w:r>
        <w:t xml:space="preserve">Inventory forecasting, financial reporting, anything beyond basic admin.</w:t>
      </w:r>
    </w:p>
    <w:p>
      <w:pPr>
        <w:pStyle w:val="ListParagraph"/>
        <w:numPr>
          <w:ilvl w:val="0"/>
          <w:numId w:val="3"/>
        </w:numPr>
        <w:spacing w:after="80" w:line="280"/>
      </w:pPr>
      <w:r>
        <w:t xml:space="preserve">Search-engine marketing setup, Meta Pixel or TikTok Pixel configuration, analytics dashboards beyond Vercel default analytics.</w:t>
      </w:r>
    </w:p>
    <w:p>
      <w:pPr>
        <w:pStyle w:val="ListParagraph"/>
        <w:numPr>
          <w:ilvl w:val="0"/>
          <w:numId w:val="3"/>
        </w:numPr>
        <w:spacing w:after="80" w:line="280"/>
      </w:pPr>
      <w:r>
        <w:t xml:space="preserve">Tier 3 features become out-of-scope at the Week 5 checkpoint if Tier 1 + Tier 2 are at risk. This is a mechanical descope rule, not a renegotiation.</w:t>
      </w:r>
    </w:p>
    <w:p>
      <w:pPr>
        <w:pStyle w:val="Heading1"/>
      </w:pPr>
      <w:r>
        <w:t xml:space="preserve">6. Timeline</w:t>
      </w:r>
    </w:p>
    <w:p>
      <w:pPr>
        <w:spacing w:after="120" w:line="300"/>
      </w:pPr>
      <w:r>
        <w:rPr>
          <w:b/>
          <w:bCs/>
        </w:rPr>
        <w:t xml:space="preserve">Total duration: </w:t>
      </w:r>
      <w:r>
        <w:t xml:space="preserve">6 weeks. </w:t>
      </w:r>
      <w:r>
        <w:rPr>
          <w:b/>
          <w:bCs/>
        </w:rPr>
        <w:t xml:space="preserve">Start: </w:t>
      </w:r>
      <w:r>
        <w:t xml:space="preserve">Mon 1 June 2026. </w:t>
      </w:r>
      <w:r>
        <w:rPr>
          <w:b/>
          <w:bCs/>
        </w:rPr>
        <w:t xml:space="preserve">Launch: </w:t>
      </w:r>
      <w:r>
        <w:t xml:space="preserve">2nd week of July 2026 (6 – 12 July).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700"/>
        <w:gridCol w:w="1500"/>
        <w:gridCol w:w="2890"/>
        <w:gridCol w:w="2490"/>
      </w:tblGrid>
      <w:tr>
        <w:trPr>
          <w:tblHeader/>
        </w:trPr>
        <w:tc>
          <w:tcPr>
            <w:tcW w:type="dxa" w:w="780"/>
            <w:tcBorders>
              <w:top w:val="single" w:color="C9D2D8" w:sz="4"/>
              <w:left w:val="single" w:color="C9D2D8" w:sz="4"/>
              <w:bottom w:val="single" w:color="C9D2D8" w:sz="4"/>
              <w:right w:val="single" w:color="C9D2D8" w:sz="4"/>
            </w:tcBorders>
            <w:shd w:fill="0F4C81" w:color="auto" w:val="clear"/>
            <w:tcMar>
              <w:top w:type="dxa" w:w="100"/>
              <w:left w:type="dxa" w:w="140"/>
              <w:bottom w:type="dxa" w:w="100"/>
              <w:right w:type="dxa" w:w="140"/>
            </w:tcMar>
          </w:tcPr>
          <w:p>
            <w:pPr>
              <w:jc w:val="center"/>
            </w:pPr>
            <w:r>
              <w:rPr>
                <w:b/>
                <w:bCs/>
                <w:color w:val="FFFFFF"/>
                <w:sz w:val="20"/>
                <w:szCs w:val="20"/>
              </w:rPr>
              <w:t xml:space="preserve">Wk</w:t>
            </w:r>
          </w:p>
        </w:tc>
        <w:tc>
          <w:tcPr>
            <w:tcW w:type="dxa" w:w="1700"/>
            <w:tcBorders>
              <w:top w:val="single" w:color="C9D2D8" w:sz="4"/>
              <w:left w:val="single" w:color="C9D2D8" w:sz="4"/>
              <w:bottom w:val="single" w:color="C9D2D8" w:sz="4"/>
              <w:right w:val="single" w:color="C9D2D8" w:sz="4"/>
            </w:tcBorders>
            <w:shd w:fill="0F4C81" w:color="auto" w:val="clear"/>
            <w:tcMar>
              <w:top w:type="dxa" w:w="100"/>
              <w:left w:type="dxa" w:w="140"/>
              <w:bottom w:type="dxa" w:w="100"/>
              <w:right w:type="dxa" w:w="140"/>
            </w:tcMar>
          </w:tcPr>
          <w:p>
            <w:pPr>
              <w:jc w:val="left"/>
            </w:pPr>
            <w:r>
              <w:rPr>
                <w:b/>
                <w:bCs/>
                <w:color w:val="FFFFFF"/>
                <w:sz w:val="20"/>
                <w:szCs w:val="20"/>
              </w:rPr>
              <w:t xml:space="preserve">Dates</w:t>
            </w:r>
          </w:p>
        </w:tc>
        <w:tc>
          <w:tcPr>
            <w:tcW w:type="dxa" w:w="1500"/>
            <w:tcBorders>
              <w:top w:val="single" w:color="C9D2D8" w:sz="4"/>
              <w:left w:val="single" w:color="C9D2D8" w:sz="4"/>
              <w:bottom w:val="single" w:color="C9D2D8" w:sz="4"/>
              <w:right w:val="single" w:color="C9D2D8" w:sz="4"/>
            </w:tcBorders>
            <w:shd w:fill="0F4C81" w:color="auto" w:val="clear"/>
            <w:tcMar>
              <w:top w:type="dxa" w:w="100"/>
              <w:left w:type="dxa" w:w="140"/>
              <w:bottom w:type="dxa" w:w="100"/>
              <w:right w:type="dxa" w:w="140"/>
            </w:tcMar>
          </w:tcPr>
          <w:p>
            <w:pPr>
              <w:jc w:val="left"/>
            </w:pPr>
            <w:r>
              <w:rPr>
                <w:b/>
                <w:bCs/>
                <w:color w:val="FFFFFF"/>
                <w:sz w:val="20"/>
                <w:szCs w:val="20"/>
              </w:rPr>
              <w:t xml:space="preserve">Phase</w:t>
            </w:r>
          </w:p>
        </w:tc>
        <w:tc>
          <w:tcPr>
            <w:tcW w:type="dxa" w:w="2890"/>
            <w:tcBorders>
              <w:top w:val="single" w:color="C9D2D8" w:sz="4"/>
              <w:left w:val="single" w:color="C9D2D8" w:sz="4"/>
              <w:bottom w:val="single" w:color="C9D2D8" w:sz="4"/>
              <w:right w:val="single" w:color="C9D2D8" w:sz="4"/>
            </w:tcBorders>
            <w:shd w:fill="0F4C81" w:color="auto" w:val="clear"/>
            <w:tcMar>
              <w:top w:type="dxa" w:w="100"/>
              <w:left w:type="dxa" w:w="140"/>
              <w:bottom w:type="dxa" w:w="100"/>
              <w:right w:type="dxa" w:w="140"/>
            </w:tcMar>
          </w:tcPr>
          <w:p>
            <w:pPr>
              <w:jc w:val="left"/>
            </w:pPr>
            <w:r>
              <w:rPr>
                <w:b/>
                <w:bCs/>
                <w:color w:val="FFFFFF"/>
                <w:sz w:val="20"/>
                <w:szCs w:val="20"/>
              </w:rPr>
              <w:t xml:space="preserve">Key activities</w:t>
            </w:r>
          </w:p>
        </w:tc>
        <w:tc>
          <w:tcPr>
            <w:tcW w:type="dxa" w:w="2490"/>
            <w:tcBorders>
              <w:top w:val="single" w:color="C9D2D8" w:sz="4"/>
              <w:left w:val="single" w:color="C9D2D8" w:sz="4"/>
              <w:bottom w:val="single" w:color="C9D2D8" w:sz="4"/>
              <w:right w:val="single" w:color="C9D2D8" w:sz="4"/>
            </w:tcBorders>
            <w:shd w:fill="0F4C81" w:color="auto" w:val="clear"/>
            <w:tcMar>
              <w:top w:type="dxa" w:w="100"/>
              <w:left w:type="dxa" w:w="140"/>
              <w:bottom w:type="dxa" w:w="100"/>
              <w:right w:type="dxa" w:w="140"/>
            </w:tcMar>
          </w:tcPr>
          <w:p>
            <w:pPr>
              <w:jc w:val="left"/>
            </w:pPr>
            <w:r>
              <w:rPr>
                <w:b/>
                <w:bCs/>
                <w:color w:val="FFFFFF"/>
                <w:sz w:val="20"/>
                <w:szCs w:val="20"/>
              </w:rPr>
              <w:t xml:space="preserve">Founder dependency</w:t>
            </w:r>
          </w:p>
        </w:tc>
      </w:tr>
      <w:tr>
        <w:tc>
          <w:tcPr>
            <w:tcW w:type="dxa" w:w="78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center"/>
            </w:pPr>
            <w:r>
              <w:rPr>
                <w:b w:val="false"/>
                <w:bCs w:val="false"/>
                <w:sz w:val="20"/>
                <w:szCs w:val="20"/>
              </w:rPr>
              <w:t xml:space="preserve">1</w:t>
            </w:r>
          </w:p>
        </w:tc>
        <w:tc>
          <w:tcPr>
            <w:tcW w:type="dxa" w:w="170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val="false"/>
                <w:bCs w:val="false"/>
                <w:sz w:val="20"/>
                <w:szCs w:val="20"/>
              </w:rPr>
              <w:t xml:space="preserve">1 – 7 Jun</w:t>
            </w:r>
          </w:p>
        </w:tc>
        <w:tc>
          <w:tcPr>
            <w:tcW w:type="dxa" w:w="150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val="false"/>
                <w:bCs w:val="false"/>
                <w:sz w:val="20"/>
                <w:szCs w:val="20"/>
              </w:rPr>
              <w:t xml:space="preserve">Sprint 0</w:t>
            </w:r>
          </w:p>
        </w:tc>
        <w:tc>
          <w:tcPr>
            <w:tcW w:type="dxa" w:w="289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val="false"/>
                <w:bCs w:val="false"/>
                <w:sz w:val="20"/>
                <w:szCs w:val="20"/>
              </w:rPr>
              <w:t xml:space="preserve">Setup, accounts, scaffold, design tokens</w:t>
            </w:r>
          </w:p>
        </w:tc>
        <w:tc>
          <w:tcPr>
            <w:tcW w:type="dxa" w:w="249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val="false"/>
                <w:bCs w:val="false"/>
                <w:sz w:val="20"/>
                <w:szCs w:val="20"/>
              </w:rPr>
              <w:t xml:space="preserve">Partner clinic list by 31 May; brand assets + copy + policy text by Mon 8 Jun</w:t>
            </w:r>
          </w:p>
        </w:tc>
      </w:tr>
      <w:tr>
        <w:tc>
          <w:tcPr>
            <w:tcW w:type="dxa" w:w="78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center"/>
            </w:pPr>
            <w:r>
              <w:rPr>
                <w:b w:val="false"/>
                <w:bCs w:val="false"/>
                <w:sz w:val="20"/>
                <w:szCs w:val="20"/>
              </w:rPr>
              <w:t xml:space="preserve">2</w:t>
            </w:r>
          </w:p>
        </w:tc>
        <w:tc>
          <w:tcPr>
            <w:tcW w:type="dxa" w:w="170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left"/>
            </w:pPr>
            <w:r>
              <w:rPr>
                <w:b w:val="false"/>
                <w:bCs w:val="false"/>
                <w:sz w:val="20"/>
                <w:szCs w:val="20"/>
              </w:rPr>
              <w:t xml:space="preserve">8 – 14 Jun</w:t>
            </w:r>
          </w:p>
        </w:tc>
        <w:tc>
          <w:tcPr>
            <w:tcW w:type="dxa" w:w="150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left"/>
            </w:pPr>
            <w:r>
              <w:rPr>
                <w:b w:val="false"/>
                <w:bCs w:val="false"/>
                <w:sz w:val="20"/>
                <w:szCs w:val="20"/>
              </w:rPr>
              <w:t xml:space="preserve">Sprint 1 (T1)</w:t>
            </w:r>
          </w:p>
        </w:tc>
        <w:tc>
          <w:tcPr>
            <w:tcW w:type="dxa" w:w="289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left"/>
            </w:pPr>
            <w:r>
              <w:rPr>
                <w:b w:val="false"/>
                <w:bCs w:val="false"/>
                <w:sz w:val="20"/>
                <w:szCs w:val="20"/>
              </w:rPr>
              <w:t xml:space="preserve">Home, Shop, Frame Detail, Checkout shell</w:t>
            </w:r>
          </w:p>
        </w:tc>
        <w:tc>
          <w:tcPr>
            <w:tcW w:type="dxa" w:w="249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left"/>
            </w:pPr>
            <w:r>
              <w:rPr>
                <w:b w:val="false"/>
                <w:bCs w:val="false"/>
                <w:sz w:val="20"/>
                <w:szCs w:val="20"/>
              </w:rPr>
              <w:t xml:space="preserve">Photography uploaded; Paystack KYC underway</w:t>
            </w:r>
          </w:p>
        </w:tc>
      </w:tr>
      <w:tr>
        <w:tc>
          <w:tcPr>
            <w:tcW w:type="dxa" w:w="78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center"/>
            </w:pPr>
            <w:r>
              <w:rPr>
                <w:b w:val="false"/>
                <w:bCs w:val="false"/>
                <w:sz w:val="20"/>
                <w:szCs w:val="20"/>
              </w:rPr>
              <w:t xml:space="preserve">3</w:t>
            </w:r>
          </w:p>
        </w:tc>
        <w:tc>
          <w:tcPr>
            <w:tcW w:type="dxa" w:w="170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val="false"/>
                <w:bCs w:val="false"/>
                <w:sz w:val="20"/>
                <w:szCs w:val="20"/>
              </w:rPr>
              <w:t xml:space="preserve">15 – 21 Jun</w:t>
            </w:r>
          </w:p>
        </w:tc>
        <w:tc>
          <w:tcPr>
            <w:tcW w:type="dxa" w:w="150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val="false"/>
                <w:bCs w:val="false"/>
                <w:sz w:val="20"/>
                <w:szCs w:val="20"/>
              </w:rPr>
              <w:t xml:space="preserve">Sprint 1+2</w:t>
            </w:r>
          </w:p>
        </w:tc>
        <w:tc>
          <w:tcPr>
            <w:tcW w:type="dxa" w:w="289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val="false"/>
                <w:bCs w:val="false"/>
                <w:sz w:val="20"/>
                <w:szCs w:val="20"/>
              </w:rPr>
              <w:t xml:space="preserve">Tier 1 complete; start Tier 2</w:t>
            </w:r>
          </w:p>
        </w:tc>
        <w:tc>
          <w:tcPr>
            <w:tcW w:type="dxa" w:w="249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val="false"/>
                <w:bCs w:val="false"/>
                <w:sz w:val="20"/>
                <w:szCs w:val="20"/>
              </w:rPr>
              <w:t xml:space="preserve">Business registration complete (3rd week of Jun)</w:t>
            </w:r>
          </w:p>
        </w:tc>
      </w:tr>
      <w:tr>
        <w:tc>
          <w:tcPr>
            <w:tcW w:type="dxa" w:w="78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center"/>
            </w:pPr>
            <w:r>
              <w:rPr>
                <w:b w:val="false"/>
                <w:bCs w:val="false"/>
                <w:sz w:val="20"/>
                <w:szCs w:val="20"/>
              </w:rPr>
              <w:t xml:space="preserve">4</w:t>
            </w:r>
          </w:p>
        </w:tc>
        <w:tc>
          <w:tcPr>
            <w:tcW w:type="dxa" w:w="170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left"/>
            </w:pPr>
            <w:r>
              <w:rPr>
                <w:b w:val="false"/>
                <w:bCs w:val="false"/>
                <w:sz w:val="20"/>
                <w:szCs w:val="20"/>
              </w:rPr>
              <w:t xml:space="preserve">22 – 28 Jun</w:t>
            </w:r>
          </w:p>
        </w:tc>
        <w:tc>
          <w:tcPr>
            <w:tcW w:type="dxa" w:w="150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left"/>
            </w:pPr>
            <w:r>
              <w:rPr>
                <w:b w:val="false"/>
                <w:bCs w:val="false"/>
                <w:sz w:val="20"/>
                <w:szCs w:val="20"/>
              </w:rPr>
              <w:t xml:space="preserve">Sprint 2 (T2)</w:t>
            </w:r>
          </w:p>
        </w:tc>
        <w:tc>
          <w:tcPr>
            <w:tcW w:type="dxa" w:w="289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left"/>
            </w:pPr>
            <w:r>
              <w:rPr>
                <w:b w:val="false"/>
                <w:bCs w:val="false"/>
                <w:sz w:val="20"/>
                <w:szCs w:val="20"/>
              </w:rPr>
              <w:t xml:space="preserve">Appointments, Lens Quiz, Prescription upload, Order tracking</w:t>
            </w:r>
          </w:p>
        </w:tc>
        <w:tc>
          <w:tcPr>
            <w:tcW w:type="dxa" w:w="249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left"/>
            </w:pPr>
            <w:r>
              <w:rPr>
                <w:b w:val="false"/>
                <w:bCs w:val="false"/>
                <w:sz w:val="20"/>
                <w:szCs w:val="20"/>
              </w:rPr>
              <w:t xml:space="preserve">DPC submitted; lens-fulfillment partner named (or feature flag)</w:t>
            </w:r>
          </w:p>
        </w:tc>
      </w:tr>
      <w:tr>
        <w:tc>
          <w:tcPr>
            <w:tcW w:type="dxa" w:w="78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center"/>
            </w:pPr>
            <w:r>
              <w:rPr>
                <w:b w:val="false"/>
                <w:bCs w:val="false"/>
                <w:sz w:val="20"/>
                <w:szCs w:val="20"/>
              </w:rPr>
              <w:t xml:space="preserve">5</w:t>
            </w:r>
          </w:p>
        </w:tc>
        <w:tc>
          <w:tcPr>
            <w:tcW w:type="dxa" w:w="170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val="false"/>
                <w:bCs w:val="false"/>
                <w:sz w:val="20"/>
                <w:szCs w:val="20"/>
              </w:rPr>
              <w:t xml:space="preserve">29 Jun – 5 Jul</w:t>
            </w:r>
          </w:p>
        </w:tc>
        <w:tc>
          <w:tcPr>
            <w:tcW w:type="dxa" w:w="150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val="false"/>
                <w:bCs w:val="false"/>
                <w:sz w:val="20"/>
                <w:szCs w:val="20"/>
              </w:rPr>
              <w:t xml:space="preserve">Checkpoint + Polish</w:t>
            </w:r>
          </w:p>
        </w:tc>
        <w:tc>
          <w:tcPr>
            <w:tcW w:type="dxa" w:w="289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val="false"/>
                <w:bCs w:val="false"/>
                <w:sz w:val="20"/>
                <w:szCs w:val="20"/>
              </w:rPr>
              <w:t xml:space="preserve">Tier 3 trigger decision; Tier 3 build (if green) in parallel with polish + soft launch</w:t>
            </w:r>
          </w:p>
        </w:tc>
        <w:tc>
          <w:tcPr>
            <w:tcW w:type="dxa" w:w="249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val="false"/>
                <w:bCs w:val="false"/>
                <w:sz w:val="20"/>
                <w:szCs w:val="20"/>
              </w:rPr>
              <w:t xml:space="preserve">Sign-off on Tier 3 trigger decision; soft-launch audience identified</w:t>
            </w:r>
          </w:p>
        </w:tc>
      </w:tr>
      <w:tr>
        <w:tc>
          <w:tcPr>
            <w:tcW w:type="dxa" w:w="78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center"/>
            </w:pPr>
            <w:r>
              <w:rPr>
                <w:b w:val="false"/>
                <w:bCs w:val="false"/>
                <w:sz w:val="20"/>
                <w:szCs w:val="20"/>
              </w:rPr>
              <w:t xml:space="preserve">6</w:t>
            </w:r>
          </w:p>
        </w:tc>
        <w:tc>
          <w:tcPr>
            <w:tcW w:type="dxa" w:w="170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left"/>
            </w:pPr>
            <w:r>
              <w:rPr>
                <w:b w:val="false"/>
                <w:bCs w:val="false"/>
                <w:sz w:val="20"/>
                <w:szCs w:val="20"/>
              </w:rPr>
              <w:t xml:space="preserve">6 – 12 Jul</w:t>
            </w:r>
          </w:p>
        </w:tc>
        <w:tc>
          <w:tcPr>
            <w:tcW w:type="dxa" w:w="150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left"/>
            </w:pPr>
            <w:r>
              <w:rPr>
                <w:b w:val="false"/>
                <w:bCs w:val="false"/>
                <w:sz w:val="20"/>
                <w:szCs w:val="20"/>
              </w:rPr>
              <w:t xml:space="preserve">Launch</w:t>
            </w:r>
          </w:p>
        </w:tc>
        <w:tc>
          <w:tcPr>
            <w:tcW w:type="dxa" w:w="289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left"/>
            </w:pPr>
            <w:r>
              <w:rPr>
                <w:b w:val="false"/>
                <w:bCs w:val="false"/>
                <w:sz w:val="20"/>
                <w:szCs w:val="20"/>
              </w:rPr>
              <w:t xml:space="preserve">Public launch + handover</w:t>
            </w:r>
          </w:p>
        </w:tc>
        <w:tc>
          <w:tcPr>
            <w:tcW w:type="dxa" w:w="249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left"/>
            </w:pPr>
            <w:r>
              <w:rPr>
                <w:b w:val="false"/>
                <w:bCs w:val="false"/>
                <w:sz w:val="20"/>
                <w:szCs w:val="20"/>
              </w:rPr>
              <w:t xml:space="preserve">Launch announcement coordination</w:t>
            </w:r>
          </w:p>
        </w:tc>
      </w:tr>
    </w:tbl>
    <w:p>
      <w:pPr>
        <w:spacing w:after="120"/>
      </w:pPr>
      <w:r>
        <w:t xml:space="preserve"/>
      </w:r>
    </w:p>
    <w:p>
      <w:pPr>
        <w:spacing w:after="120" w:line="300"/>
      </w:pPr>
      <w:r>
        <w:t xml:space="preserve">Sustained client-side delays beyond 10 business days may shift the schedule one-for-one. The Week 5 checkpoint is the structured release valve for scope, not for the date.</w:t>
      </w:r>
    </w:p>
    <w:p>
      <w:pPr>
        <w:pStyle w:val="Heading1"/>
      </w:pPr>
      <w:r>
        <w:t xml:space="preserve">7. Team</w:t>
      </w:r>
    </w:p>
    <w:p>
      <w:pPr>
        <w:spacing w:after="120" w:line="300"/>
      </w:pPr>
      <w:r>
        <w:t xml:space="preserve">This is a solo engagement on the agency side. </w:t>
      </w:r>
      <w:r>
        <w:rPr>
          <w:b/>
          <w:bCs/>
        </w:rPr>
        <w:t xml:space="preserve">+233 55 884 2505 / +233 24 562 8432</w:t>
      </w:r>
      <w:r>
        <w:t xml:space="preserve"> is acting as designer, developer, and project lead for the build. The Founder is the sole Single Point of Contact on the Lumen side, responsible for decisions, content delivery, and external workstreams (business registration, DPC registration, optometrist arrangements, and naming the lens-fulfillment partner before public launch).</w:t>
      </w:r>
    </w:p>
    <w:p>
      <w:pPr>
        <w:pStyle w:val="Heading1"/>
      </w:pPr>
      <w:r>
        <w:t xml:space="preserve">8. Investment &amp; Pricing</w:t>
      </w:r>
    </w:p>
    <w:p>
      <w:pPr>
        <w:spacing w:after="120" w:line="300"/>
      </w:pPr>
      <w:r>
        <w:rPr>
          <w:b/>
          <w:bCs/>
        </w:rPr>
        <w:t xml:space="preserve">Total fee: </w:t>
      </w:r>
      <w:r>
        <w:t xml:space="preserve">GHS 3,300, all applicable Ghana taxes inclusive (per agency policy for projects under GHS 50,000).</w:t>
      </w:r>
    </w:p>
    <w:p>
      <w:pPr>
        <w:spacing w:after="120" w:line="300"/>
      </w:pPr>
      <w:r>
        <w:rPr>
          <w:b/>
          <w:bCs/>
        </w:rPr>
        <w:t xml:space="preserve">Payment plan </w:t>
      </w:r>
      <w:r>
        <w:rPr>
          <w:i/>
          <w:iCs/>
        </w:rPr>
        <w:t xml:space="preserve">(overrides the agency default of 50/50 on signing and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660"/>
        <w:gridCol w:w="4000"/>
      </w:tblGrid>
      <w:tr>
        <w:trPr>
          <w:tblHeader/>
        </w:trPr>
        <w:tc>
          <w:tcPr>
            <w:tcW w:type="dxa" w:w="1200"/>
            <w:tcBorders>
              <w:top w:val="single" w:color="C9D2D8" w:sz="4"/>
              <w:left w:val="single" w:color="C9D2D8" w:sz="4"/>
              <w:bottom w:val="single" w:color="C9D2D8" w:sz="4"/>
              <w:right w:val="single" w:color="C9D2D8" w:sz="4"/>
            </w:tcBorders>
            <w:shd w:fill="0F4C81" w:color="auto" w:val="clear"/>
            <w:tcMar>
              <w:top w:type="dxa" w:w="100"/>
              <w:left w:type="dxa" w:w="140"/>
              <w:bottom w:type="dxa" w:w="100"/>
              <w:right w:type="dxa" w:w="140"/>
            </w:tcMar>
          </w:tcPr>
          <w:p>
            <w:pPr>
              <w:jc w:val="left"/>
            </w:pPr>
            <w:r>
              <w:rPr>
                <w:b/>
                <w:bCs/>
                <w:color w:val="FFFFFF"/>
                <w:sz w:val="20"/>
                <w:szCs w:val="20"/>
              </w:rPr>
              <w:t xml:space="preserve">Milestone</w:t>
            </w:r>
          </w:p>
        </w:tc>
        <w:tc>
          <w:tcPr>
            <w:tcW w:type="dxa" w:w="1500"/>
            <w:tcBorders>
              <w:top w:val="single" w:color="C9D2D8" w:sz="4"/>
              <w:left w:val="single" w:color="C9D2D8" w:sz="4"/>
              <w:bottom w:val="single" w:color="C9D2D8" w:sz="4"/>
              <w:right w:val="single" w:color="C9D2D8" w:sz="4"/>
            </w:tcBorders>
            <w:shd w:fill="0F4C81" w:color="auto" w:val="clear"/>
            <w:tcMar>
              <w:top w:type="dxa" w:w="100"/>
              <w:left w:type="dxa" w:w="140"/>
              <w:bottom w:type="dxa" w:w="100"/>
              <w:right w:type="dxa" w:w="140"/>
            </w:tcMar>
          </w:tcPr>
          <w:p>
            <w:pPr>
              <w:jc w:val="right"/>
            </w:pPr>
            <w:r>
              <w:rPr>
                <w:b/>
                <w:bCs/>
                <w:color w:val="FFFFFF"/>
                <w:sz w:val="20"/>
                <w:szCs w:val="20"/>
              </w:rPr>
              <w:t xml:space="preserve">Amount (GHS)</w:t>
            </w:r>
          </w:p>
        </w:tc>
        <w:tc>
          <w:tcPr>
            <w:tcW w:type="dxa" w:w="2660"/>
            <w:tcBorders>
              <w:top w:val="single" w:color="C9D2D8" w:sz="4"/>
              <w:left w:val="single" w:color="C9D2D8" w:sz="4"/>
              <w:bottom w:val="single" w:color="C9D2D8" w:sz="4"/>
              <w:right w:val="single" w:color="C9D2D8" w:sz="4"/>
            </w:tcBorders>
            <w:shd w:fill="0F4C81" w:color="auto" w:val="clear"/>
            <w:tcMar>
              <w:top w:type="dxa" w:w="100"/>
              <w:left w:type="dxa" w:w="140"/>
              <w:bottom w:type="dxa" w:w="100"/>
              <w:right w:type="dxa" w:w="140"/>
            </w:tcMar>
          </w:tcPr>
          <w:p>
            <w:pPr>
              <w:jc w:val="left"/>
            </w:pPr>
            <w:r>
              <w:rPr>
                <w:b/>
                <w:bCs/>
                <w:color w:val="FFFFFF"/>
                <w:sz w:val="20"/>
                <w:szCs w:val="20"/>
              </w:rPr>
              <w:t xml:space="preserve">Trigger</w:t>
            </w:r>
          </w:p>
        </w:tc>
        <w:tc>
          <w:tcPr>
            <w:tcW w:type="dxa" w:w="4000"/>
            <w:tcBorders>
              <w:top w:val="single" w:color="C9D2D8" w:sz="4"/>
              <w:left w:val="single" w:color="C9D2D8" w:sz="4"/>
              <w:bottom w:val="single" w:color="C9D2D8" w:sz="4"/>
              <w:right w:val="single" w:color="C9D2D8" w:sz="4"/>
            </w:tcBorders>
            <w:shd w:fill="0F4C81" w:color="auto" w:val="clear"/>
            <w:tcMar>
              <w:top w:type="dxa" w:w="100"/>
              <w:left w:type="dxa" w:w="140"/>
              <w:bottom w:type="dxa" w:w="100"/>
              <w:right w:type="dxa" w:w="140"/>
            </w:tcMar>
          </w:tcPr>
          <w:p>
            <w:pPr>
              <w:jc w:val="left"/>
            </w:pPr>
            <w:r>
              <w:rPr>
                <w:b/>
                <w:bCs/>
                <w:color w:val="FFFFFF"/>
                <w:sz w:val="20"/>
                <w:szCs w:val="20"/>
              </w:rPr>
              <w:t xml:space="preserve">What it covers</w:t>
            </w:r>
          </w:p>
        </w:tc>
      </w:tr>
      <w:tr>
        <w:tc>
          <w:tcPr>
            <w:tcW w:type="dxa" w:w="120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bCs/>
                <w:sz w:val="20"/>
                <w:szCs w:val="20"/>
              </w:rPr>
              <w:t xml:space="preserve">M1</w:t>
            </w:r>
          </w:p>
        </w:tc>
        <w:tc>
          <w:tcPr>
            <w:tcW w:type="dxa" w:w="150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right"/>
            </w:pPr>
            <w:r>
              <w:rPr>
                <w:b w:val="false"/>
                <w:bCs w:val="false"/>
                <w:sz w:val="20"/>
                <w:szCs w:val="20"/>
              </w:rPr>
              <w:t xml:space="preserve">1,100.00</w:t>
            </w:r>
          </w:p>
        </w:tc>
        <w:tc>
          <w:tcPr>
            <w:tcW w:type="dxa" w:w="266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val="false"/>
                <w:bCs w:val="false"/>
                <w:sz w:val="20"/>
                <w:szCs w:val="20"/>
              </w:rPr>
              <w:t xml:space="preserve">On signing this proposal</w:t>
            </w:r>
          </w:p>
        </w:tc>
        <w:tc>
          <w:tcPr>
            <w:tcW w:type="dxa" w:w="400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val="false"/>
                <w:bCs w:val="false"/>
                <w:sz w:val="20"/>
                <w:szCs w:val="20"/>
              </w:rPr>
              <w:t xml:space="preserve">Sprint 0 setup; domain registration; SaaS account onboarding (Vercel, Supabase, Resend); Paystack KYC submission; design-token port; scaffold deploy.</w:t>
            </w:r>
          </w:p>
        </w:tc>
      </w:tr>
      <w:tr>
        <w:tc>
          <w:tcPr>
            <w:tcW w:type="dxa" w:w="120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left"/>
            </w:pPr>
            <w:r>
              <w:rPr>
                <w:b/>
                <w:bCs/>
                <w:sz w:val="20"/>
                <w:szCs w:val="20"/>
              </w:rPr>
              <w:t xml:space="preserve">M2</w:t>
            </w:r>
          </w:p>
        </w:tc>
        <w:tc>
          <w:tcPr>
            <w:tcW w:type="dxa" w:w="150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right"/>
            </w:pPr>
            <w:r>
              <w:rPr>
                <w:b w:val="false"/>
                <w:bCs w:val="false"/>
                <w:sz w:val="20"/>
                <w:szCs w:val="20"/>
              </w:rPr>
              <w:t xml:space="preserve">1,100.00</w:t>
            </w:r>
          </w:p>
        </w:tc>
        <w:tc>
          <w:tcPr>
            <w:tcW w:type="dxa" w:w="266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left"/>
            </w:pPr>
            <w:r>
              <w:rPr>
                <w:b w:val="false"/>
                <w:bCs w:val="false"/>
                <w:sz w:val="20"/>
                <w:szCs w:val="20"/>
              </w:rPr>
              <w:t xml:space="preserve">Tier 1 ships to staging</w:t>
            </w:r>
          </w:p>
        </w:tc>
        <w:tc>
          <w:tcPr>
            <w:tcW w:type="dxa" w:w="4000"/>
            <w:tcBorders>
              <w:top w:val="single" w:color="C9D2D8" w:sz="4"/>
              <w:left w:val="single" w:color="C9D2D8" w:sz="4"/>
              <w:bottom w:val="single" w:color="C9D2D8" w:sz="4"/>
              <w:right w:val="single" w:color="C9D2D8" w:sz="4"/>
            </w:tcBorders>
            <w:shd w:fill="FAF7F2" w:color="auto" w:val="clear"/>
            <w:tcMar>
              <w:top w:type="dxa" w:w="100"/>
              <w:left w:type="dxa" w:w="140"/>
              <w:bottom w:type="dxa" w:w="100"/>
              <w:right w:type="dxa" w:w="140"/>
            </w:tcMar>
          </w:tcPr>
          <w:p>
            <w:pPr>
              <w:jc w:val="left"/>
            </w:pPr>
            <w:r>
              <w:rPr>
                <w:b w:val="false"/>
                <w:bCs w:val="false"/>
                <w:sz w:val="20"/>
                <w:szCs w:val="20"/>
              </w:rPr>
              <w:t xml:space="preserve">SaaS service-tier payments and transaction processing fees during testing; agency labor through Tier 1+2 is contributed (favor framing).</w:t>
            </w:r>
          </w:p>
        </w:tc>
      </w:tr>
      <w:tr>
        <w:tc>
          <w:tcPr>
            <w:tcW w:type="dxa" w:w="120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bCs/>
                <w:sz w:val="20"/>
                <w:szCs w:val="20"/>
              </w:rPr>
              <w:t xml:space="preserve">M3</w:t>
            </w:r>
          </w:p>
        </w:tc>
        <w:tc>
          <w:tcPr>
            <w:tcW w:type="dxa" w:w="150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right"/>
            </w:pPr>
            <w:r>
              <w:rPr>
                <w:b w:val="false"/>
                <w:bCs w:val="false"/>
                <w:sz w:val="20"/>
                <w:szCs w:val="20"/>
              </w:rPr>
              <w:t xml:space="preserve">1,100.00</w:t>
            </w:r>
          </w:p>
        </w:tc>
        <w:tc>
          <w:tcPr>
            <w:tcW w:type="dxa" w:w="266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val="false"/>
                <w:bCs w:val="false"/>
                <w:sz w:val="20"/>
                <w:szCs w:val="20"/>
              </w:rPr>
              <w:t xml:space="preserve">Public launch + handover pack delivered</w:t>
            </w:r>
          </w:p>
        </w:tc>
        <w:tc>
          <w:tcPr>
            <w:tcW w:type="dxa" w:w="4000"/>
            <w:tcBorders>
              <w:top w:val="single" w:color="C9D2D8" w:sz="4"/>
              <w:left w:val="single" w:color="C9D2D8" w:sz="4"/>
              <w:bottom w:val="single" w:color="C9D2D8" w:sz="4"/>
              <w:right w:val="single" w:color="C9D2D8" w:sz="4"/>
            </w:tcBorders>
            <w:tcMar>
              <w:top w:type="dxa" w:w="100"/>
              <w:left w:type="dxa" w:w="140"/>
              <w:bottom w:type="dxa" w:w="100"/>
              <w:right w:type="dxa" w:w="140"/>
            </w:tcMar>
          </w:tcPr>
          <w:p>
            <w:pPr>
              <w:jc w:val="left"/>
            </w:pPr>
            <w:r>
              <w:rPr>
                <w:b w:val="false"/>
                <w:bCs w:val="false"/>
                <w:sz w:val="20"/>
                <w:szCs w:val="20"/>
              </w:rPr>
              <w:t xml:space="preserve">Final infrastructure costs; handover documentation; start of the 30-day defects warranty window.</w:t>
            </w:r>
          </w:p>
        </w:tc>
      </w:tr>
      <w:tr>
        <w:tc>
          <w:tcPr>
            <w:tcW w:type="dxa" w:w="1200"/>
            <w:tcBorders>
              <w:top w:val="single" w:color="C9D2D8" w:sz="4"/>
              <w:left w:val="single" w:color="C9D2D8" w:sz="4"/>
              <w:bottom w:val="single" w:color="C9D2D8" w:sz="4"/>
              <w:right w:val="single" w:color="C9D2D8" w:sz="4"/>
            </w:tcBorders>
            <w:shd w:fill="0A1F35" w:color="auto" w:val="clear"/>
            <w:tcMar>
              <w:top w:type="dxa" w:w="100"/>
              <w:left w:type="dxa" w:w="140"/>
              <w:bottom w:type="dxa" w:w="100"/>
              <w:right w:type="dxa" w:w="140"/>
            </w:tcMar>
          </w:tcPr>
          <w:p>
            <w:pPr>
              <w:jc w:val="left"/>
            </w:pPr>
            <w:r>
              <w:rPr>
                <w:b/>
                <w:bCs/>
                <w:color w:val="FFFFFF"/>
                <w:sz w:val="20"/>
                <w:szCs w:val="20"/>
              </w:rPr>
              <w:t xml:space="preserve">Total</w:t>
            </w:r>
          </w:p>
        </w:tc>
        <w:tc>
          <w:tcPr>
            <w:tcW w:type="dxa" w:w="1500"/>
            <w:tcBorders>
              <w:top w:val="single" w:color="C9D2D8" w:sz="4"/>
              <w:left w:val="single" w:color="C9D2D8" w:sz="4"/>
              <w:bottom w:val="single" w:color="C9D2D8" w:sz="4"/>
              <w:right w:val="single" w:color="C9D2D8" w:sz="4"/>
            </w:tcBorders>
            <w:shd w:fill="0A1F35" w:color="auto" w:val="clear"/>
            <w:tcMar>
              <w:top w:type="dxa" w:w="100"/>
              <w:left w:type="dxa" w:w="140"/>
              <w:bottom w:type="dxa" w:w="100"/>
              <w:right w:type="dxa" w:w="140"/>
            </w:tcMar>
          </w:tcPr>
          <w:p>
            <w:pPr>
              <w:jc w:val="right"/>
            </w:pPr>
            <w:r>
              <w:rPr>
                <w:b/>
                <w:bCs/>
                <w:color w:val="FFFFFF"/>
                <w:sz w:val="20"/>
                <w:szCs w:val="20"/>
              </w:rPr>
              <w:t xml:space="preserve">3,300.00</w:t>
            </w:r>
          </w:p>
        </w:tc>
        <w:tc>
          <w:tcPr>
            <w:tcW w:type="dxa" w:w="2660"/>
            <w:tcBorders>
              <w:top w:val="single" w:color="C9D2D8" w:sz="4"/>
              <w:left w:val="single" w:color="C9D2D8" w:sz="4"/>
              <w:bottom w:val="single" w:color="C9D2D8" w:sz="4"/>
              <w:right w:val="single" w:color="C9D2D8" w:sz="4"/>
            </w:tcBorders>
            <w:shd w:fill="0A1F35" w:color="auto" w:val="clear"/>
            <w:tcMar>
              <w:top w:type="dxa" w:w="100"/>
              <w:left w:type="dxa" w:w="140"/>
              <w:bottom w:type="dxa" w:w="100"/>
              <w:right w:type="dxa" w:w="140"/>
            </w:tcMar>
          </w:tcPr>
          <w:p>
            <w:pPr>
              <w:jc w:val="left"/>
            </w:pPr>
            <w:r>
              <w:rPr>
                <w:b w:val="false"/>
                <w:bCs w:val="false"/>
                <w:color w:val="FFFFFF"/>
                <w:sz w:val="20"/>
                <w:szCs w:val="20"/>
              </w:rPr>
              <w:t xml:space="preserve">—</w:t>
            </w:r>
          </w:p>
        </w:tc>
        <w:tc>
          <w:tcPr>
            <w:tcW w:type="dxa" w:w="4000"/>
            <w:tcBorders>
              <w:top w:val="single" w:color="C9D2D8" w:sz="4"/>
              <w:left w:val="single" w:color="C9D2D8" w:sz="4"/>
              <w:bottom w:val="single" w:color="C9D2D8" w:sz="4"/>
              <w:right w:val="single" w:color="C9D2D8" w:sz="4"/>
            </w:tcBorders>
            <w:shd w:fill="0A1F35" w:color="auto" w:val="clear"/>
            <w:tcMar>
              <w:top w:type="dxa" w:w="100"/>
              <w:left w:type="dxa" w:w="140"/>
              <w:bottom w:type="dxa" w:w="100"/>
              <w:right w:type="dxa" w:w="140"/>
            </w:tcMar>
          </w:tcPr>
          <w:p>
            <w:pPr>
              <w:jc w:val="left"/>
            </w:pPr>
            <w:r>
              <w:rPr>
                <w:b w:val="false"/>
                <w:bCs w:val="false"/>
                <w:color w:val="FFFFFF"/>
                <w:sz w:val="20"/>
                <w:szCs w:val="20"/>
              </w:rPr>
              <w:t xml:space="preserve">All applicable Ghana taxes inclusive.</w:t>
            </w:r>
          </w:p>
        </w:tc>
      </w:tr>
    </w:tbl>
    <w:p>
      <w:pPr>
        <w:spacing w:after="120"/>
      </w:pPr>
      <w:r>
        <w:t xml:space="preserve"/>
      </w:r>
    </w:p>
    <w:p>
      <w:pPr>
        <w:spacing w:after="120" w:line="300"/>
      </w:pPr>
      <w:r>
        <w:t xml:space="preserve">The GHS 3,300 covers external technical resources — domain registration, Paystack onboarding fees if any, SaaS service tiers, transaction processing fees during testing, and incidentals. Development labor is contributed by the agency and is not represented as a separate line item; this is a personal-favor engagement, formalised here so the scope, schedule, and obligations are clear on both sides.</w:t>
      </w:r>
    </w:p>
    <w:p>
      <w:pPr>
        <w:spacing w:after="120" w:line="300"/>
      </w:pPr>
      <w:r>
        <w:t xml:space="preserve">Post-launch maintenance moves to a separate retainer; commercial terms for the retainer are TBD and not part of this proposal.</w:t>
      </w:r>
    </w:p>
    <w:p>
      <w:pPr>
        <w:spacing w:after="120" w:line="300"/>
      </w:pPr>
      <w:r>
        <w:t xml:space="preserve">Invoices payable within 7 days of issue.</w:t>
      </w:r>
    </w:p>
    <w:p>
      <w:pPr>
        <w:pStyle w:val="Heading1"/>
      </w:pPr>
      <w:r>
        <w:t xml:space="preserve">9. Assumptions</w:t>
      </w:r>
    </w:p>
    <w:p>
      <w:pPr>
        <w:pStyle w:val="Heading2"/>
      </w:pPr>
      <w:r>
        <w:t xml:space="preserve">Founder absorbs and owns the following workstreams external to the build:</w:t>
      </w:r>
    </w:p>
    <w:p>
      <w:pPr>
        <w:pStyle w:val="ListParagraph"/>
        <w:numPr>
          <w:ilvl w:val="0"/>
          <w:numId w:val="3"/>
        </w:numPr>
        <w:spacing w:after="80" w:line="280"/>
      </w:pPr>
      <w:r>
        <w:t xml:space="preserve">Business registration (RGD + GRA TIN), expected complete the 3rd week of June 2026. If delayed past that, payment integration moves to v1.1 and v1 ships with available rails only.</w:t>
      </w:r>
    </w:p>
    <w:p>
      <w:pPr>
        <w:pStyle w:val="ListParagraph"/>
        <w:numPr>
          <w:ilvl w:val="0"/>
          <w:numId w:val="3"/>
        </w:numPr>
        <w:spacing w:after="80" w:line="280"/>
      </w:pPr>
      <w:r>
        <w:t xml:space="preserve">Data Protection Commission registration as data controller, before public launch. Required because v1 stores prescription uploads as sensitive health data under the Data Protection Act 2012.</w:t>
      </w:r>
    </w:p>
    <w:p>
      <w:pPr>
        <w:pStyle w:val="ListParagraph"/>
        <w:numPr>
          <w:ilvl w:val="0"/>
          <w:numId w:val="3"/>
        </w:numPr>
        <w:spacing w:after="80" w:line="280"/>
      </w:pPr>
      <w:r>
        <w:t xml:space="preserve">Health Professions Regulatory Bodies compliance. The appointment surface is scoped as “request a consultation,” not “book a medical exam”; the Founder owns the licensing relationship with any optometrist receiving requests.</w:t>
      </w:r>
    </w:p>
    <w:p>
      <w:pPr>
        <w:pStyle w:val="ListParagraph"/>
        <w:numPr>
          <w:ilvl w:val="0"/>
          <w:numId w:val="3"/>
        </w:numPr>
        <w:spacing w:after="80" w:line="280"/>
      </w:pPr>
      <w:r>
        <w:t xml:space="preserve">Naming a contracted lens-fulfillment partner (optical lab or partner optician) before public launch with prescription upload enabled. Until that partner is named, the prescription-upload feature ships behind a feature flag and is not publicly exposed.</w:t>
      </w:r>
    </w:p>
    <w:p>
      <w:pPr>
        <w:pStyle w:val="ListParagraph"/>
        <w:numPr>
          <w:ilvl w:val="0"/>
          <w:numId w:val="3"/>
        </w:numPr>
        <w:spacing w:after="80" w:line="280"/>
      </w:pPr>
      <w:r>
        <w:t xml:space="preserve">Refund and return policy text for the user-facing terms.</w:t>
      </w:r>
    </w:p>
    <w:p>
      <w:pPr>
        <w:pStyle w:val="ListParagraph"/>
        <w:numPr>
          <w:ilvl w:val="0"/>
          <w:numId w:val="3"/>
        </w:numPr>
        <w:spacing w:after="80" w:line="280"/>
      </w:pPr>
      <w:r>
        <w:t xml:space="preserve">Brand assets: 30+ frame photos (on-figure and product-only, web-ready, sRGB, ≥ 2000 px long edge), per-frame copy, About and Journal seed content. Delivered by start of Sprint 1 (Mon 8 June 2026). Partner clinic list delivered earlier, by Sun 31 May 2026.</w:t>
      </w:r>
    </w:p>
    <w:p>
      <w:pPr>
        <w:pStyle w:val="Heading2"/>
      </w:pPr>
      <w:r>
        <w:t xml:space="preserve">Agency assumptions (the build is sized around these):</w:t>
      </w:r>
    </w:p>
    <w:p>
      <w:pPr>
        <w:pStyle w:val="ListParagraph"/>
        <w:numPr>
          <w:ilvl w:val="0"/>
          <w:numId w:val="3"/>
        </w:numPr>
        <w:spacing w:after="80" w:line="280"/>
      </w:pPr>
      <w:r>
        <w:t xml:space="preserve">Founder is the sole Single Point of Contact and responsive within 2 business days.</w:t>
      </w:r>
    </w:p>
    <w:p>
      <w:pPr>
        <w:pStyle w:val="ListParagraph"/>
        <w:numPr>
          <w:ilvl w:val="0"/>
          <w:numId w:val="3"/>
        </w:numPr>
        <w:spacing w:after="80" w:line="280"/>
      </w:pPr>
      <w:r>
        <w:t xml:space="preserve">Maximum 2 rounds of consolidated revisions per deliverable. Piecemeal feedback counts as multiple rounds.</w:t>
      </w:r>
    </w:p>
    <w:p>
      <w:pPr>
        <w:pStyle w:val="ListParagraph"/>
        <w:numPr>
          <w:ilvl w:val="0"/>
          <w:numId w:val="3"/>
        </w:numPr>
        <w:spacing w:after="80" w:line="280"/>
      </w:pPr>
      <w:r>
        <w:t xml:space="preserve">Tech stack: Next.js (App Router) + Supabase (Postgres, Auth, Storage) + Paystack + Vercel (hosting) + Resend (transactional email). All on free tiers, under founder-owned accounts.</w:t>
      </w:r>
    </w:p>
    <w:p>
      <w:pPr>
        <w:pStyle w:val="ListParagraph"/>
        <w:numPr>
          <w:ilvl w:val="0"/>
          <w:numId w:val="3"/>
        </w:numPr>
        <w:spacing w:after="80" w:line="280"/>
      </w:pPr>
      <w:r>
        <w:t xml:space="preserve">Performance budgets: initial JS bundle under 200 KB, Lighthouse mobile ≥ 85.</w:t>
      </w:r>
    </w:p>
    <w:p>
      <w:pPr>
        <w:pStyle w:val="ListParagraph"/>
        <w:numPr>
          <w:ilvl w:val="0"/>
          <w:numId w:val="3"/>
        </w:numPr>
        <w:spacing w:after="80" w:line="280"/>
      </w:pPr>
      <w:r>
        <w:t xml:space="preserve">Device baseline: low-end Android (2 GB RAM, Android 8+), per Ghana defaults.</w:t>
      </w:r>
    </w:p>
    <w:p>
      <w:pPr>
        <w:pStyle w:val="ListParagraph"/>
        <w:numPr>
          <w:ilvl w:val="0"/>
          <w:numId w:val="3"/>
        </w:numPr>
        <w:spacing w:after="80" w:line="280"/>
      </w:pPr>
      <w:r>
        <w:t xml:space="preserve">All SaaS account credentials are owned by the Founder. The agency receives invited-collaborator access where needed.</w:t>
      </w:r>
    </w:p>
    <w:p>
      <w:pPr>
        <w:pStyle w:val="Heading2"/>
      </w:pPr>
      <w:r>
        <w:t xml:space="preserve">Stale prototype defaults that will be corrected (already approved by Founder):</w:t>
      </w:r>
    </w:p>
    <w:p>
      <w:pPr>
        <w:pStyle w:val="ListParagraph"/>
        <w:numPr>
          <w:ilvl w:val="0"/>
          <w:numId w:val="3"/>
        </w:numPr>
        <w:spacing w:after="80" w:line="280"/>
      </w:pPr>
      <w:r>
        <w:t xml:space="preserve">“Vodafone Cash” → “Telecel Cash” (rebrand completed February 2024).</w:t>
      </w:r>
    </w:p>
    <w:p>
      <w:pPr>
        <w:pStyle w:val="ListParagraph"/>
        <w:numPr>
          <w:ilvl w:val="0"/>
          <w:numId w:val="3"/>
        </w:numPr>
        <w:spacing w:after="80" w:line="280"/>
      </w:pPr>
      <w:r>
        <w:t xml:space="preserve">“AirtelTigo Money” → “AT Money” (rebrand completed June 2023).</w:t>
      </w:r>
    </w:p>
    <w:p>
      <w:pPr>
        <w:pStyle w:val="ListParagraph"/>
        <w:numPr>
          <w:ilvl w:val="0"/>
          <w:numId w:val="3"/>
        </w:numPr>
        <w:spacing w:after="80" w:line="280"/>
      </w:pPr>
      <w:r>
        <w:t xml:space="preserve">E-Levy disclosure shown at the MoMo checkout step per GRA guidance.</w:t>
      </w:r>
    </w:p>
    <w:p>
      <w:pPr>
        <w:pStyle w:val="ListParagraph"/>
        <w:numPr>
          <w:ilvl w:val="0"/>
          <w:numId w:val="3"/>
        </w:numPr>
        <w:spacing w:after="80" w:line="280"/>
      </w:pPr>
      <w:r>
        <w:t xml:space="preserve">Phone numbers accept both 0XXXXXXXXX and +233XXXXXXXXX formats; normalised to E.164 on storage.</w:t>
      </w:r>
    </w:p>
    <w:p>
      <w:pPr>
        <w:pStyle w:val="ListParagraph"/>
        <w:numPr>
          <w:ilvl w:val="0"/>
          <w:numId w:val="3"/>
        </w:numPr>
        <w:spacing w:after="80" w:line="280"/>
      </w:pPr>
      <w:r>
        <w:t xml:space="preserve">Address form: GhanaPostGPS digital address as an optional field; freeform text + landmark as the practical default; no postal-code requirement.</w:t>
      </w:r>
    </w:p>
    <w:p>
      <w:pPr>
        <w:pStyle w:val="Heading1"/>
      </w:pPr>
      <w:r>
        <w:t xml:space="preserve">10. Commercial Terms</w:t>
      </w:r>
    </w:p>
    <w:p>
      <w:pPr>
        <w:pStyle w:val="Heading2"/>
      </w:pPr>
      <w:r>
        <w:t xml:space="preserve">Payment</w:t>
      </w:r>
    </w:p>
    <w:p>
      <w:pPr>
        <w:spacing w:after="120" w:line="300"/>
      </w:pPr>
      <w:r>
        <w:t xml:space="preserve">Total fee GHS 3,300, taxes inclusive, paid in three milestones of GHS 1,100 each (M1 on signing, M2 on Tier 1 shipping to staging, M3 on public launch and handover). Invoices payable within 7 days of issue; 2% interest per month on amounts overdue beyond 14 days. All payments are non-refundable once work has commenced for that phase.</w:t>
      </w:r>
    </w:p>
    <w:p>
      <w:pPr>
        <w:pStyle w:val="Heading2"/>
      </w:pPr>
      <w:r>
        <w:t xml:space="preserve">IP ownership</w:t>
      </w:r>
    </w:p>
    <w:p>
      <w:pPr>
        <w:spacing w:after="120" w:line="300"/>
      </w:pPr>
      <w:r>
        <w:t xml:space="preserve">Lumen Eye Care owns the final deliverables on receipt of the M3 payment. Until M3, IP remains with </w:t>
      </w:r>
      <w:r>
        <w:t xml:space="preserve">Bryan &amp; Etornam</w:t>
      </w:r>
      <w:r>
        <w:t xml:space="preserve">. Reusable code, internal tools, and frameworks not specific to Lumen remain with the agency. </w:t>
      </w:r>
      <w:r>
        <w:t xml:space="preserve">Bryan &amp; Etornam</w:t>
      </w:r>
      <w:r>
        <w:t xml:space="preserve"> retains the right to showcase the work in portfolio, case studies, and marketing materials unless an NDA explicitly prohibits.</w:t>
      </w:r>
    </w:p>
    <w:p>
      <w:pPr>
        <w:pStyle w:val="Heading2"/>
      </w:pPr>
      <w:r>
        <w:t xml:space="preserve">Third-party assets</w:t>
      </w:r>
    </w:p>
    <w:p>
      <w:pPr>
        <w:spacing w:after="120" w:line="300"/>
      </w:pPr>
      <w:r>
        <w:t xml:space="preserve">Stock photos, licensed fonts, and third-party plugins remain under their original licenses; Lumen Eye Care is responsible for ongoing license fees post-handover. Founder-supplied photography remains the Founder’s IP.</w:t>
      </w:r>
    </w:p>
    <w:p>
      <w:pPr>
        <w:pStyle w:val="Heading2"/>
      </w:pPr>
      <w:r>
        <w:t xml:space="preserve">Change orders</w:t>
      </w:r>
    </w:p>
    <w:p>
      <w:pPr>
        <w:spacing w:after="120" w:line="300"/>
      </w:pPr>
      <w:r>
        <w:t xml:space="preserve">Anything not explicitly listed in Tier 1, Tier 2, or Tier 3 of the Scope of Work is treated as a change order. Change orders require written approval (email is sufficient) before work begins; the agency will quote any impact on timeline and fee before proceeding. The first hour of clarification or minor revision per week is included; beyond that, additional hours are billable at the agency’s hourly rate.</w:t>
      </w:r>
    </w:p>
    <w:p>
      <w:pPr>
        <w:pStyle w:val="Heading2"/>
      </w:pPr>
      <w:r>
        <w:t xml:space="preserve">Acceptance &amp; revisions</w:t>
      </w:r>
    </w:p>
    <w:p>
      <w:pPr>
        <w:spacing w:after="120" w:line="300"/>
      </w:pPr>
      <w:r>
        <w:t xml:space="preserve">Deliverables are deemed accepted if no written feedback is received within 5 business days of submission. Maximum 2 rounds of consolidated revisions per deliverable; piecemeal feedback counts as multiple rounds.</w:t>
      </w:r>
    </w:p>
    <w:p>
      <w:pPr>
        <w:pStyle w:val="Heading2"/>
      </w:pPr>
      <w:r>
        <w:t xml:space="preserve">Client responsibilities</w:t>
      </w:r>
    </w:p>
    <w:p>
      <w:pPr>
        <w:spacing w:after="120" w:line="300"/>
      </w:pPr>
      <w:r>
        <w:t xml:space="preserve">The Founder is Lumen’s sole point of contact. Content, assets, credentials, and approvals are delivered per the timeline in this proposal. Sustained client-side delays beyond 10 business days may shift the project timeline; reactivation fees may apply on the maintenance retainer side if delays persist through to launch.</w:t>
      </w:r>
    </w:p>
    <w:p>
      <w:pPr>
        <w:pStyle w:val="Heading2"/>
      </w:pPr>
      <w:r>
        <w:t xml:space="preserve">Termination</w:t>
      </w:r>
    </w:p>
    <w:p>
      <w:pPr>
        <w:spacing w:after="120" w:line="300"/>
      </w:pPr>
      <w:r>
        <w:t xml:space="preserve">Either party may terminate with 14 days written notice. Lumen pays for all work completed up to termination date. If termination is initiated by Lumen without cause, a kill fee of 25% of remaining contracted fees applies. Confidentiality obligations survive termination by 2 years.</w:t>
      </w:r>
    </w:p>
    <w:p>
      <w:pPr>
        <w:pStyle w:val="Heading2"/>
      </w:pPr>
      <w:r>
        <w:t xml:space="preserve">Confidentiality</w:t>
      </w:r>
    </w:p>
    <w:p>
      <w:pPr>
        <w:spacing w:after="120" w:line="300"/>
      </w:pPr>
      <w:r>
        <w:t xml:space="preserve">Mutual confidentiality on business information shared during the engagement (financial details, strategy, customer data, internal processes, unreleased products). Excludes information that becomes public through no fault of either party.</w:t>
      </w:r>
    </w:p>
    <w:p>
      <w:pPr>
        <w:pStyle w:val="Heading2"/>
      </w:pPr>
      <w:r>
        <w:t xml:space="preserve">Warranties &amp; liability</w:t>
      </w:r>
    </w:p>
    <w:p>
      <w:pPr>
        <w:spacing w:after="120" w:line="300"/>
      </w:pPr>
      <w:r>
        <w:t xml:space="preserve">The agency warrants deliverables will materially conform to the agreed Scope of Work. A 30-day warranty from launch date covers bug fixes on defects (not new features or change requests). Total liability is capped at the total fees paid under this engagement (GHS 3,300). The agency carries no liability for indirect, incidental, or consequential damages, including lost profits, lost data, or business interruption. The Founder is responsible for backups and data integrity post-handover.</w:t>
      </w:r>
    </w:p>
    <w:p>
      <w:pPr>
        <w:pStyle w:val="Heading2"/>
      </w:pPr>
      <w:r>
        <w:t xml:space="preserve">Force majeure</w:t>
      </w:r>
    </w:p>
    <w:p>
      <w:pPr>
        <w:spacing w:after="120" w:line="300"/>
      </w:pPr>
      <w:r>
        <w:t xml:space="preserve">Neither party is liable for delays caused by events beyond reasonable control (natural disasters, sustained power or internet outages, government action, pandemic). The affected party notifies the other within 5 business days. If force majeure persists beyond 30 days, either party may terminate without the kill fee.</w:t>
      </w:r>
    </w:p>
    <w:p>
      <w:pPr>
        <w:pStyle w:val="Heading2"/>
      </w:pPr>
      <w:r>
        <w:t xml:space="preserve">Governing law &amp; disputes</w:t>
      </w:r>
    </w:p>
    <w:p>
      <w:pPr>
        <w:spacing w:after="120" w:line="300"/>
      </w:pPr>
      <w:r>
        <w:t xml:space="preserve">Ghana law governs this engagement. Disputes are resolved through good-faith negotiation first; arbitration in Accra if unresolved within 30 days. Each party bears its own legal costs unless the arbitrator decides otherwise.</w:t>
      </w:r>
    </w:p>
    <w:p>
      <w:pPr>
        <w:pStyle w:val="Heading2"/>
      </w:pPr>
      <w:r>
        <w:t xml:space="preserve">Proposal validity</w:t>
      </w:r>
    </w:p>
    <w:p>
      <w:pPr>
        <w:spacing w:after="120" w:line="300"/>
      </w:pPr>
      <w:r>
        <w:t xml:space="preserve">This proposal is valid for 30 days from 29 May 2026, expiring 28 June 2026. After that date, pricing and timeline are subject to revisit.</w:t>
      </w:r>
    </w:p>
    <w:p>
      <w:pPr>
        <w:pStyle w:val="Heading2"/>
      </w:pPr>
      <w:r>
        <w:t xml:space="preserve">Signatures</w:t>
      </w:r>
    </w:p>
    <w:p>
      <w:pPr>
        <w:spacing w:after="120" w:line="300"/>
      </w:pPr>
      <w:r>
        <w:t xml:space="preserve">By signing below, each party agrees to the scope, schedule, investment, assumptions, and commercial terms set out in this proposal.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20"/>
              <w:left w:type="dxa" w:w="0"/>
              <w:bottom w:type="dxa" w:w="120"/>
              <w:right w:type="dxa" w:w="240"/>
            </w:tcMar>
          </w:tcPr>
          <w:p>
            <w:pPr>
              <w:spacing w:after="120"/>
            </w:pPr>
            <w:r>
              <w:rPr>
                <w:b/>
                <w:bCs/>
                <w:color w:val="0F4C81"/>
                <w:sz w:val="22"/>
                <w:szCs w:val="22"/>
              </w:rPr>
              <w:t xml:space="preserve">For Lumen Eye Care</w:t>
            </w:r>
          </w:p>
          <w:p>
            <w:pPr>
              <w:spacing w:after="240"/>
            </w:pPr>
            <w:r>
              <w:rPr>
                <w:color w:val="0A1F35"/>
                <w:sz w:val="20"/>
                <w:szCs w:val="20"/>
              </w:rPr>
              <w:t xml:space="preserve">Charity Adomah Sasu</w:t>
            </w:r>
          </w:p>
          <w:p>
            <w:pPr>
              <w:spacing w:after="40" w:before="60"/>
            </w:pPr>
            <w:r>
              <w:rPr>
                <w:color w:val="808080"/>
                <w:spacing w:val="60"/>
                <w:sz w:val="18"/>
                <w:szCs w:val="18"/>
              </w:rPr>
              <w:t xml:space="preserve">SIGNATURE</w:t>
            </w:r>
          </w:p>
          <w:p>
            <w:pPr>
              <w:pBdr>
                <w:bottom w:val="single" w:color="0A1F35" w:sz="6" w:space="1"/>
              </w:pBdr>
              <w:spacing w:after="240" w:before="0"/>
            </w:pPr>
            <w:r>
              <w:rPr>
                <w:sz w:val="22"/>
                <w:szCs w:val="22"/>
              </w:rPr>
              <w:t xml:space="preserve"> </w:t>
            </w:r>
          </w:p>
          <w:p>
            <w:pPr>
              <w:spacing w:after="40" w:before="60"/>
            </w:pPr>
            <w:r>
              <w:rPr>
                <w:color w:val="808080"/>
                <w:spacing w:val="60"/>
                <w:sz w:val="18"/>
                <w:szCs w:val="18"/>
              </w:rPr>
              <w:t xml:space="preserve">PRINTED NAME</w:t>
            </w:r>
          </w:p>
          <w:p>
            <w:pPr>
              <w:pBdr>
                <w:bottom w:val="single" w:color="0A1F35" w:sz="6" w:space="1"/>
              </w:pBdr>
              <w:spacing w:after="240" w:before="0"/>
            </w:pPr>
            <w:r>
              <w:rPr>
                <w:sz w:val="22"/>
                <w:szCs w:val="22"/>
              </w:rPr>
              <w:t xml:space="preserve"> </w:t>
            </w:r>
          </w:p>
          <w:p>
            <w:pPr>
              <w:spacing w:after="40" w:before="60"/>
            </w:pPr>
            <w:r>
              <w:rPr>
                <w:color w:val="808080"/>
                <w:spacing w:val="60"/>
                <w:sz w:val="18"/>
                <w:szCs w:val="18"/>
              </w:rPr>
              <w:t xml:space="preserve">TITLE</w:t>
            </w:r>
          </w:p>
          <w:p>
            <w:pPr>
              <w:pBdr>
                <w:bottom w:val="single" w:color="0A1F35" w:sz="6" w:space="1"/>
              </w:pBdr>
              <w:spacing w:after="240" w:before="0"/>
            </w:pPr>
            <w:r>
              <w:rPr>
                <w:sz w:val="22"/>
                <w:szCs w:val="22"/>
              </w:rPr>
              <w:t xml:space="preserve"> </w:t>
            </w:r>
          </w:p>
          <w:p>
            <w:pPr>
              <w:spacing w:after="40" w:before="60"/>
            </w:pPr>
            <w:r>
              <w:rPr>
                <w:color w:val="808080"/>
                <w:spacing w:val="60"/>
                <w:sz w:val="18"/>
                <w:szCs w:val="18"/>
              </w:rPr>
              <w:t xml:space="preserve">DATE</w:t>
            </w:r>
          </w:p>
          <w:p>
            <w:pPr>
              <w:pBdr>
                <w:bottom w:val="single" w:color="0A1F35" w:sz="6" w:space="1"/>
              </w:pBdr>
              <w:spacing w:after="240" w:before="0"/>
            </w:pPr>
            <w:r>
              <w:rPr>
                <w:sz w:val="22"/>
                <w:szCs w:val="22"/>
              </w:rPr>
              <w:t xml:space="preserve"> </w:t>
            </w:r>
          </w:p>
        </w:tc>
        <w:tc>
          <w:tcPr>
            <w:tcW w:type="dxa" w:w="4680"/>
            <w:tcBorders>
              <w:top w:val="none" w:color="FFFFFF" w:sz="0"/>
              <w:left w:val="none" w:color="FFFFFF" w:sz="0"/>
              <w:bottom w:val="none" w:color="FFFFFF" w:sz="0"/>
              <w:right w:val="none" w:color="FFFFFF" w:sz="0"/>
            </w:tcBorders>
            <w:tcMar>
              <w:top w:type="dxa" w:w="120"/>
              <w:left w:type="dxa" w:w="0"/>
              <w:bottom w:type="dxa" w:w="120"/>
              <w:right w:type="dxa" w:w="240"/>
            </w:tcMar>
          </w:tcPr>
          <w:p>
            <w:pPr>
              <w:spacing w:after="120"/>
            </w:pPr>
            <w:r>
              <w:rPr>
                <w:b/>
                <w:bCs/>
                <w:color w:val="0F4C81"/>
                <w:sz w:val="22"/>
                <w:szCs w:val="22"/>
              </w:rPr>
              <w:t xml:space="preserve">For Bryan &amp; Etornam</w:t>
            </w:r>
          </w:p>
          <w:p>
            <w:pPr>
              <w:spacing w:after="240"/>
            </w:pPr>
            <w:r>
              <w:rPr>
                <w:color w:val="0A1F35"/>
                <w:sz w:val="20"/>
                <w:szCs w:val="20"/>
              </w:rPr>
              <w:t xml:space="preserve">Authorised representative</w:t>
            </w:r>
          </w:p>
          <w:p>
            <w:pPr>
              <w:spacing w:after="40" w:before="60"/>
            </w:pPr>
            <w:r>
              <w:rPr>
                <w:color w:val="808080"/>
                <w:spacing w:val="60"/>
                <w:sz w:val="18"/>
                <w:szCs w:val="18"/>
              </w:rPr>
              <w:t xml:space="preserve">SIGNATURE</w:t>
            </w:r>
          </w:p>
          <w:p>
            <w:pPr>
              <w:pBdr>
                <w:bottom w:val="single" w:color="0A1F35" w:sz="6" w:space="1"/>
              </w:pBdr>
              <w:spacing w:after="240" w:before="0"/>
            </w:pPr>
            <w:r>
              <w:rPr>
                <w:sz w:val="22"/>
                <w:szCs w:val="22"/>
              </w:rPr>
              <w:t xml:space="preserve"> </w:t>
            </w:r>
          </w:p>
          <w:p>
            <w:pPr>
              <w:spacing w:after="40" w:before="60"/>
            </w:pPr>
            <w:r>
              <w:rPr>
                <w:color w:val="808080"/>
                <w:spacing w:val="60"/>
                <w:sz w:val="18"/>
                <w:szCs w:val="18"/>
              </w:rPr>
              <w:t xml:space="preserve">PRINTED NAME</w:t>
            </w:r>
          </w:p>
          <w:p>
            <w:pPr>
              <w:pBdr>
                <w:bottom w:val="single" w:color="0A1F35" w:sz="6" w:space="1"/>
              </w:pBdr>
              <w:spacing w:after="240" w:before="0"/>
            </w:pPr>
            <w:r>
              <w:rPr>
                <w:sz w:val="22"/>
                <w:szCs w:val="22"/>
              </w:rPr>
              <w:t xml:space="preserve"> </w:t>
            </w:r>
          </w:p>
          <w:p>
            <w:pPr>
              <w:spacing w:after="40" w:before="60"/>
            </w:pPr>
            <w:r>
              <w:rPr>
                <w:color w:val="808080"/>
                <w:spacing w:val="60"/>
                <w:sz w:val="18"/>
                <w:szCs w:val="18"/>
              </w:rPr>
              <w:t xml:space="preserve">TITLE</w:t>
            </w:r>
          </w:p>
          <w:p>
            <w:pPr>
              <w:pBdr>
                <w:bottom w:val="single" w:color="0A1F35" w:sz="6" w:space="1"/>
              </w:pBdr>
              <w:spacing w:after="240" w:before="0"/>
            </w:pPr>
            <w:r>
              <w:rPr>
                <w:sz w:val="22"/>
                <w:szCs w:val="22"/>
              </w:rPr>
              <w:t xml:space="preserve"> </w:t>
            </w:r>
          </w:p>
          <w:p>
            <w:pPr>
              <w:spacing w:after="40" w:before="60"/>
            </w:pPr>
            <w:r>
              <w:rPr>
                <w:color w:val="808080"/>
                <w:spacing w:val="60"/>
                <w:sz w:val="18"/>
                <w:szCs w:val="18"/>
              </w:rPr>
              <w:t xml:space="preserve">DATE</w:t>
            </w:r>
          </w:p>
          <w:p>
            <w:pPr>
              <w:pBdr>
                <w:bottom w:val="single" w:color="0A1F35" w:sz="6" w:space="1"/>
              </w:pBdr>
              <w:spacing w:after="240" w:before="0"/>
            </w:pPr>
            <w:r>
              <w:rPr>
                <w:sz w:val="22"/>
                <w:szCs w:val="22"/>
              </w:rPr>
              <w:t xml:space="preserve"> </w:t>
            </w:r>
          </w:p>
        </w:tc>
      </w:tr>
    </w:tbl>
    <w:p>
      <w:pPr>
        <w:spacing w:after="120"/>
      </w:pPr>
      <w:r>
        <w:t xml:space="preserve"/>
      </w:r>
    </w:p>
    <w:p>
      <w:pPr>
        <w:pStyle w:val="Heading1"/>
      </w:pPr>
      <w:r>
        <w:t xml:space="preserve">11. Next Steps</w:t>
      </w:r>
    </w:p>
    <w:p>
      <w:pPr>
        <w:spacing w:after="120" w:line="300"/>
      </w:pPr>
      <w:r>
        <w:t xml:space="preserve">To accept this proposal:</w:t>
      </w:r>
    </w:p>
    <w:p>
      <w:pPr>
        <w:pStyle w:val="ListParagraph"/>
        <w:numPr>
          <w:ilvl w:val="0"/>
          <w:numId w:val="4"/>
        </w:numPr>
        <w:spacing w:after="80" w:line="280"/>
      </w:pPr>
      <w:r>
        <w:t xml:space="preserve">Sign and return this document by 28 June 2026.</w:t>
      </w:r>
    </w:p>
    <w:p>
      <w:pPr>
        <w:pStyle w:val="ListParagraph"/>
        <w:numPr>
          <w:ilvl w:val="0"/>
          <w:numId w:val="4"/>
        </w:numPr>
        <w:spacing w:after="80" w:line="280"/>
      </w:pPr>
      <w:r>
        <w:t xml:space="preserve">Remit Milestone 1 payment of GHS 1,100 to the agency account (details provided on signing).</w:t>
      </w:r>
    </w:p>
    <w:p>
      <w:pPr>
        <w:pStyle w:val="ListParagraph"/>
        <w:numPr>
          <w:ilvl w:val="0"/>
          <w:numId w:val="4"/>
        </w:numPr>
        <w:spacing w:after="80" w:line="280"/>
      </w:pPr>
      <w:r>
        <w:t xml:space="preserve">The agency confirms receipt and schedules a kick-off call within 3 business days of M1 payment.</w:t>
      </w:r>
    </w:p>
    <w:p>
      <w:pPr>
        <w:pStyle w:val="ListParagraph"/>
        <w:numPr>
          <w:ilvl w:val="0"/>
          <w:numId w:val="4"/>
        </w:numPr>
        <w:spacing w:after="80" w:line="280"/>
      </w:pPr>
      <w:r>
        <w:t xml:space="preserve">Sprint 0 begins the working day after the kick-off call.</w:t>
      </w:r>
    </w:p>
    <w:p>
      <w:pPr>
        <w:spacing w:after="120"/>
      </w:pPr>
      <w:r>
        <w:t xml:space="preserve"/>
      </w:r>
    </w:p>
    <w:p>
      <w:pPr>
        <w:spacing w:after="120" w:line="300"/>
      </w:pPr>
      <w:r>
        <w:t xml:space="preserve">Questions or amendments before signing: contact </w:t>
      </w:r>
      <w:r>
        <w:rPr>
          <w:b/>
          <w:bCs/>
        </w:rPr>
        <w:t xml:space="preserve">+233 55 884 2505 / +233 24 562 8432</w:t>
      </w:r>
      <w:r>
        <w:t xml:space="preserve"> directly via WhatsApp or email.</w:t>
      </w:r>
    </w:p>
    <w:p>
      <w:pPr>
        <w:pStyle w:val="Heading1"/>
      </w:pPr>
      <w:r>
        <w:t xml:space="preserve">12. Appendix</w:t>
      </w:r>
    </w:p>
    <w:p>
      <w:pPr>
        <w:pStyle w:val="Heading2"/>
      </w:pPr>
      <w:r>
        <w:t xml:space="preserve">A. Open Items (to confirm before or during the engagement)</w:t>
      </w:r>
    </w:p>
    <w:p>
      <w:pPr>
        <w:pStyle w:val="ListParagraph"/>
        <w:numPr>
          <w:ilvl w:val="0"/>
          <w:numId w:val="3"/>
        </w:numPr>
        <w:spacing w:after="80" w:line="280"/>
      </w:pPr>
      <w:r>
        <w:t xml:space="preserve">Specific frames-sold target for the success metric. The proposal offers “first 10 sales in 30 days” as a candidate; the Founder confirms or amends at signing.</w:t>
      </w:r>
    </w:p>
    <w:p>
      <w:pPr>
        <w:pStyle w:val="ListParagraph"/>
        <w:numPr>
          <w:ilvl w:val="0"/>
          <w:numId w:val="3"/>
        </w:numPr>
        <w:spacing w:after="80" w:line="280"/>
      </w:pPr>
      <w:r>
        <w:t xml:space="preserve">Domain choice: .com / .com.gh / .gh — confirmed by Founder at signing or in Sprint 0.</w:t>
      </w:r>
    </w:p>
    <w:p>
      <w:pPr>
        <w:pStyle w:val="ListParagraph"/>
        <w:numPr>
          <w:ilvl w:val="0"/>
          <w:numId w:val="3"/>
        </w:numPr>
        <w:spacing w:after="80" w:line="280"/>
      </w:pPr>
      <w:r>
        <w:t xml:space="preserve">Final shipping rate policy: confirmation of Yango Accra rates or acceptance of the agency recommendation made in Sprint 0.</w:t>
      </w:r>
    </w:p>
    <w:p>
      <w:pPr>
        <w:pStyle w:val="ListParagraph"/>
        <w:numPr>
          <w:ilvl w:val="0"/>
          <w:numId w:val="3"/>
        </w:numPr>
        <w:spacing w:after="80" w:line="280"/>
      </w:pPr>
      <w:r>
        <w:t xml:space="preserve">Privacy Policy and Terms of Service: Founder writes or asks the agency to draft from a template grounded in the Data Protection Act 2012.</w:t>
      </w:r>
    </w:p>
    <w:p>
      <w:pPr>
        <w:pStyle w:val="ListParagraph"/>
        <w:numPr>
          <w:ilvl w:val="0"/>
          <w:numId w:val="3"/>
        </w:numPr>
        <w:spacing w:after="80" w:line="280"/>
      </w:pPr>
      <w:r>
        <w:t xml:space="preserve">Final partner-clinics list with full details — Founder sending by end of the week ending 31 May 2026.</w:t>
      </w:r>
    </w:p>
    <w:p>
      <w:pPr>
        <w:pStyle w:val="ListParagraph"/>
        <w:numPr>
          <w:ilvl w:val="0"/>
          <w:numId w:val="3"/>
        </w:numPr>
        <w:spacing w:after="80" w:line="280"/>
      </w:pPr>
      <w:r>
        <w:t xml:space="preserve">Lens-fulfillment partner (optical lab or partner optician) — named and contracted with appropriate Data Processing Agreement before public launch with prescription upload enabled. If unresolved by end of Sprint 2, the prescription-upload feature ships behind a feature flag.</w:t>
      </w:r>
    </w:p>
    <w:p>
      <w:pPr>
        <w:pStyle w:val="ListParagraph"/>
        <w:numPr>
          <w:ilvl w:val="0"/>
          <w:numId w:val="3"/>
        </w:numPr>
        <w:spacing w:after="80" w:line="280"/>
      </w:pPr>
      <w:r>
        <w:t xml:space="preserve">Retainer terms for post-launch maintenance — separate conversation post-launch; not part of this proposal.</w:t>
      </w:r>
    </w:p>
    <w:p>
      <w:pPr>
        <w:pStyle w:val="Heading2"/>
      </w:pPr>
      <w:r>
        <w:t xml:space="preserve">B. Sources cited</w:t>
      </w:r>
    </w:p>
    <w:p>
      <w:pPr>
        <w:pStyle w:val="ListParagraph"/>
        <w:numPr>
          <w:ilvl w:val="0"/>
          <w:numId w:val="3"/>
        </w:numPr>
        <w:spacing w:after="80" w:line="280"/>
      </w:pPr>
      <w:r>
        <w:t xml:space="preserve">E-Levy current rate and threshold — Ghana Revenue Authority (gra.gov.gh/elevy-faq/); jbklutse.com Tax Guide 2026.</w:t>
      </w:r>
    </w:p>
    <w:p>
      <w:pPr>
        <w:pStyle w:val="ListParagraph"/>
        <w:numPr>
          <w:ilvl w:val="0"/>
          <w:numId w:val="3"/>
        </w:numPr>
        <w:spacing w:after="80" w:line="280"/>
      </w:pPr>
      <w:r>
        <w:t xml:space="preserve">Data Protection Commission registration obligations — Data Protection Commission Ghana (dataprotection.org.gh); Ghana Web (“2026 set for strict data law enforcement in Ghana”).</w:t>
      </w:r>
    </w:p>
    <w:p>
      <w:pPr>
        <w:pStyle w:val="ListParagraph"/>
        <w:numPr>
          <w:ilvl w:val="0"/>
          <w:numId w:val="3"/>
        </w:numPr>
        <w:spacing w:after="80" w:line="280"/>
      </w:pPr>
      <w:r>
        <w:t xml:space="preserve">Paystack Ghana merchant onboarding requirements — Paystack Support (support.paystack.com/en/articles/2128898 and /2123842).</w:t>
      </w:r>
    </w:p>
    <w:p>
      <w:pPr>
        <w:pStyle w:val="ListParagraph"/>
        <w:numPr>
          <w:ilvl w:val="0"/>
          <w:numId w:val="3"/>
        </w:numPr>
        <w:spacing w:after="80" w:line="280"/>
      </w:pPr>
      <w:r>
        <w:t xml:space="preserve">Vodafone Ghana → Telecel Ghana rebrand (Feb 2024) — Telecel Group (telecelgroup.com).</w:t>
      </w:r>
    </w:p>
    <w:p>
      <w:pPr>
        <w:pStyle w:val="ListParagraph"/>
        <w:numPr>
          <w:ilvl w:val="0"/>
          <w:numId w:val="3"/>
        </w:numPr>
        <w:spacing w:after="80" w:line="280"/>
      </w:pPr>
      <w:r>
        <w:t xml:space="preserve">AirtelTigo → AT Ghana / AT Money rebrand (Jun 2023) — Telecom Review Africa.</w:t>
      </w:r>
    </w:p>
    <w:p>
      <w:pPr>
        <w:pStyle w:val="ListParagraph"/>
        <w:numPr>
          <w:ilvl w:val="0"/>
          <w:numId w:val="3"/>
        </w:numPr>
        <w:spacing w:after="80" w:line="280"/>
      </w:pPr>
      <w:r>
        <w:t xml:space="preserve">Ghana defaults (tax stack, currency, devices, addressing, phone numbering) — agency internal reference: GHANA_DEFAULTS.md.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Lumen Eye Care — Proposal v3 — 29 May 2026 —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0A1F35"/>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0F4C81"/>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3D6B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Lumen Eye Care — Proposal v1</dc:title>
  <dc:subject>v1 Launch Site</dc:subject>
  <dc:creator>Bryan &amp; Etornam</dc:creator>
  <cp:lastModifiedBy>Un-named</cp:lastModifiedBy>
  <cp:revision>1</cp:revision>
  <dcterms:created xsi:type="dcterms:W3CDTF">2026-05-29T20:57:27.164Z</dcterms:created>
  <dcterms:modified xsi:type="dcterms:W3CDTF">2026-05-29T20:57:27.165Z</dcterms:modified>
</cp:coreProperties>
</file>

<file path=docProps/custom.xml><?xml version="1.0" encoding="utf-8"?>
<Properties xmlns="http://schemas.openxmlformats.org/officeDocument/2006/custom-properties" xmlns:vt="http://schemas.openxmlformats.org/officeDocument/2006/docPropsVTypes"/>
</file>