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CPU在加电之后的第一条指令在哪：内存中，内存分为RAM和ROM（只读存储），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加电之后蹦到BIOS执行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启动，中断、异常和系统调用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操作系统一开始是放在硬盘上面的（DISK）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BIOS：基本I/O处理系统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Bootloader：加载OS，把硬盘放在内存中去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BIOS从特定地址开始执行CS:段寄存器 IP：指令寄存器 即PC=CS:IP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BIOS：支持基本输入输出，系统配置和开机自检、和系统的启动程序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POST加电自检，检查自身的设备能否正常工作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Bootloader一般放在硬盘的第一个引导扇区0X7c00（512字节）即加载程序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BIOS引导Blootloader，bootloader引导OS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Bootloader：把操作系统的代码和数据从硬盘加载到内存，跳转到操作系统的起始地址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系统调用：应用程序主动向操作系统发出服务请求（特殊的指令完成相应的功能）【异步或同步】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异常：非法指令或者其他坏的处理状态【同步】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中断：来源于外设【异步】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只有内核可以执行特权指令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中断表：不同的外设产生的中断有一个对应的中断号（中断事件的ID）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硬件，外设设置中断标记，CPU会产生一个中断号，操作系统根据中断号找到对应的处理历程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软件保存被打断的执行现场。便于后续的回复。根据cpu中断号查到中断处理例程，然后清楚中断标记，恢复中断前的状态。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异常ID号，保存产生异常的现场，比如产生异常的地址，寄存器的值。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根据异常来判断执行的操作：杀死产生异常的程序，或者恢复现场重新执行产生异常的指令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应用程序需要一个接口，系统调用接口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应用程序访问高层次API接口而不是直接系统调用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应用程序访问系统调用接口，触发从用户态到内核态的转变，内核态执行特权指令和IO指令，使得控制权从应用程序转移到操作系统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和函数调用的区别：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函数调用时是在一个栈空间完成了参数的传递和返回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系统调用时切换到内核时，也需要切换堆栈，用户态和内核态有各自的堆栈，更大的开销但是更安全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三者跨越操作系统的边界的开销：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执行时间上的开销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建立中断、异常、系统调用号和对应服务例程的映射关系的开销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建立内核堆栈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内核态映射到用户态的地址空间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106E0370"/>
    <w:rsid w:val="7EC6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2023-12-25T12:50:00Z</dcterms:created>
  <dc:creator>四季清风cjl</dc:creator>
  <cp:lastModifiedBy>微信用户</cp:lastModifiedBy>
  <dcterms:modified xsi:type="dcterms:W3CDTF">2023-12-25T23:35:13Z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E69168FF391B40BBA15D43DA83491416_12</vt:lpwstr>
  </property>
</Properties>
</file>