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8"/>
        </w:rPr>
        <w:t>车辆路径跟踪控制实验报告</w:t>
      </w:r>
    </w:p>
    <w:p>
      <w:pPr>
        <w:jc w:val="center"/>
      </w:pPr>
      <w:r>
        <w:rPr>
          <w:rFonts w:ascii="Arial" w:hAnsi="Arial" w:eastAsia="Microsoft YaHei"/>
          <w:b w:val="0"/>
          <w:color w:val="333333"/>
          <w:sz w:val="26"/>
        </w:rPr>
        <w:t>Pure Pursuit  线性二次型调节器  线性模型预测控制</w:t>
      </w:r>
    </w:p>
    <w:p>
      <w:pPr>
        <w:spacing w:after="8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F7EEE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课程实验</w:t>
            </w:r>
          </w:p>
        </w:tc>
        <w:tc>
          <w:tcPr>
            <w:tcW w:type="dxa" w:w="48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自行车模型与路径跟踪</w:t>
            </w:r>
          </w:p>
        </w:tc>
      </w:tr>
      <w:tr>
        <w:tc>
          <w:tcPr>
            <w:tcW w:type="dxa" w:w="4844"/>
            <w:shd w:fill="F7EEE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小组名称</w:t>
            </w:r>
          </w:p>
        </w:tc>
        <w:tc>
          <w:tcPr>
            <w:tcW w:type="dxa" w:w="48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NullPointer</w:t>
            </w:r>
          </w:p>
        </w:tc>
      </w:tr>
      <w:tr>
        <w:tc>
          <w:tcPr>
            <w:tcW w:type="dxa" w:w="4844"/>
            <w:shd w:fill="F7EEE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完成日期</w:t>
            </w:r>
          </w:p>
        </w:tc>
        <w:tc>
          <w:tcPr>
            <w:tcW w:type="dxa" w:w="48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2026 年 9 月</w:t>
            </w:r>
          </w:p>
        </w:tc>
      </w:tr>
    </w:tbl>
    <w:p>
      <w:pPr>
        <w:spacing w:after="480"/>
      </w:pPr>
    </w:p>
    <w:p>
      <w:pPr>
        <w:spacing w:after="120" w:line="324" w:lineRule="auto"/>
        <w:jc w:val="center"/>
      </w:pPr>
      <w:r>
        <w:rPr>
          <w:rFonts w:ascii="Arial" w:hAnsi="Arial" w:eastAsia="Microsoft YaHei"/>
          <w:b w:val="0"/>
          <w:color w:val="000000"/>
          <w:sz w:val="21"/>
        </w:rPr>
        <w:t>报告结论：在 868 m 寝室—教学楼导航路线中，四类控制器均到达终点；速度升高时，运动学 LQR 出现转向饱和与控制激烈度显著上升，动力学 LQR 保持更稳定的误差水平。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摘要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本实验围绕自行车模型路径跟踪问题，实现并比较 Pure Pursuit、运动学 LQR、动力学 LQR 与线性 MPC。除双移线、直角弯、S 弯和半径 12 m 的圆形路径外，报告根据高德步行导航截图重建了寝室至教学楼的 868 m 本地坐标参考路径。以速度、最大转角和轴距为三个独立变量开展敏感性实验，并在相同路线、相同采样周期下比较运动学与动力学 LQR。进一步针对传统 MPC 首步控制量可能突变的问题，提出执行器感知转角变化率约束。结果显示：高速会放大运动学 LQR 的转向饱和与控制激烈度；动力学 LQR 在所测速度范围内保持更低的跟踪误差。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19"/>
        </w:rPr>
        <w:t>关键词：自行车模型；路径跟踪；导航参考路径；Pure Pursuit；LQR；模型预测控制；转角变化率约束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1 实验目标与分工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本报告完成三项课程任务，并补齐综合导航验证：比较 PP、运动学 LQR、动力学 LQR 与 MPC 在不同路径几何下的表现；在固定曲率圆形路径中验证速度、横摆角速度和法向加速度关系；根据高德导航截图重建寝室至教学楼的本地参考路径，完成地图依据、路径生成、PP 跟踪、峰值误差定位和实验数据分析。NullPointer 小组在学生版代码中补齐四类控制器，并在 MPC 中实现执行器感知首步转角变化率约束。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81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工作项</w:t>
            </w:r>
          </w:p>
        </w:tc>
        <w:tc>
          <w:tcPr>
            <w:tcW w:type="dxa" w:w="6973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实现或验证内容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控制器实现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PP、运动学 LQR、动力学 LQR、线性 MPC 的学生版 TODO 全部完成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公平性设置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同一路线、同一车辆、同一速度档与同一采样周期下比较算法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创新设计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约束 MPC 第一个实际执行转角与上一帧转角的变化率，并做严格边界投影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三变量实验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速度 3/5/7 m/s、最大转角 5/8/12/20 deg、轴距 2.2/2.5/2.8 m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导航任务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高德截图重建 868 m 参考路径；全控制器到达、PP 峰值误差定位与路线可视化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可视化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路线重建、轨迹、时序和多变量对比图采用莫兰迪配色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2 理论模型与代码对应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在后轮不转向的运动学自行车模型中，前轮转角为 δf，侧偏角为 β，车辆质心位置为 (x, y)，航向角为 ψ，速度为 v。其状态更新关系如下：</w:t>
      </w:r>
    </w:p>
    <w:p>
      <w:pPr>
        <w:spacing w:after="80" w:line="276" w:lineRule="auto"/>
        <w:jc w:val="center"/>
      </w:pPr>
      <m:oMathPara>
        <m:oMath>
          <m:r>
            <m:rPr>
              <m:scr m:val="Cambria Math"/>
            </m:rPr>
            <m:t>β = arctan(</m:t>
          </m:r>
          <m:f>
            <m:num>
              <m:e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r</m:t>
                    </m:r>
                  </m:sub>
                </m:sSub>
              </m:e>
            </m:num>
            <m:den>
              <m:e>
                <m:r>
                  <m:rPr>
                    <m:scr m:val="Cambria Math"/>
                  </m:rPr>
                  <m:t>(</m:t>
                </m:r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f</m:t>
                    </m:r>
                  </m:sub>
                </m:sSub>
                <m:r>
                  <m:rPr>
                    <m:scr m:val="Cambria Math"/>
                  </m:rPr>
                  <m:t> + </m:t>
                </m:r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r</m:t>
                    </m:r>
                  </m:sub>
                </m:sSub>
                <m:r>
                  <m:rPr>
                    <m:scr m:val="Cambria Math"/>
                  </m:rPr>
                  <m:t>)</m:t>
                </m:r>
              </m:e>
            </m:den>
          </m:f>
          <m:r>
            <m:rPr>
              <m:scr m:val="Cambria Math"/>
            </m:rPr>
            <m:t> tan 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  <m:r>
            <m:rPr>
              <m:scr m:val="Cambria Math"/>
            </m:rPr>
            <m:t>)</m:t>
          </m:r>
        </m:oMath>
      </m:oMathPara>
    </w:p>
    <w:p>
      <w:pPr>
        <w:spacing w:after="80" w:line="276" w:lineRule="auto"/>
        <w:jc w:val="center"/>
      </w:pPr>
      <m:oMathPara>
        <m:oMath>
          <m:f>
            <m:num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x</m:t>
                </m:r>
              </m:e>
            </m:num>
            <m:den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t</m:t>
                </m:r>
              </m:e>
            </m:den>
          </m:f>
          <m:r>
            <m:rPr>
              <m:scr m:val="Cambria Math"/>
            </m:rPr>
            <m:t> = v cos(ψ + β)</m:t>
          </m:r>
        </m:oMath>
      </m:oMathPara>
    </w:p>
    <w:p>
      <w:pPr>
        <w:spacing w:after="80" w:line="276" w:lineRule="auto"/>
        <w:jc w:val="center"/>
      </w:pPr>
      <m:oMathPara>
        <m:oMath>
          <m:f>
            <m:num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y</m:t>
                </m:r>
              </m:e>
            </m:num>
            <m:den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t</m:t>
                </m:r>
              </m:e>
            </m:den>
          </m:f>
          <m:r>
            <m:rPr>
              <m:scr m:val="Cambria Math"/>
            </m:rPr>
            <m:t> = v sin(ψ + β)</m:t>
          </m:r>
        </m:oMath>
      </m:oMathPara>
    </w:p>
    <w:p>
      <w:pPr>
        <w:spacing w:after="80" w:line="276" w:lineRule="auto"/>
        <w:jc w:val="center"/>
      </w:pPr>
      <m:oMathPara>
        <m:oMath>
          <m:f>
            <m:num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ψ</m:t>
                </m:r>
              </m:e>
            </m:num>
            <m:den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t</m:t>
                </m:r>
              </m:e>
            </m:den>
          </m:f>
          <m:r>
            <m:rPr>
              <m:scr m:val="Cambria Math"/>
            </m:rPr>
            <m:t> = </m:t>
          </m:r>
          <m:f>
            <m:num>
              <m:e>
                <m:r>
                  <m:rPr>
                    <m:scr m:val="Cambria Math"/>
                  </m:rPr>
                  <m:t>v</m:t>
                </m:r>
              </m:e>
            </m:num>
            <m:den>
              <m:e>
                <m:r>
                  <m:rPr>
                    <m:scr m:val="Cambria Math"/>
                  </m:rPr>
                  <m:t>(</m:t>
                </m:r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f</m:t>
                    </m:r>
                  </m:sub>
                </m:sSub>
                <m:r>
                  <m:rPr>
                    <m:scr m:val="Cambria Math"/>
                  </m:rPr>
                  <m:t> + </m:t>
                </m:r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r</m:t>
                    </m:r>
                  </m:sub>
                </m:sSub>
                <m:r>
                  <m:rPr>
                    <m:scr m:val="Cambria Math"/>
                  </m:rPr>
                  <m:t>)</m:t>
                </m:r>
              </m:e>
            </m:den>
          </m:f>
          <m:r>
            <m:rPr>
              <m:scr m:val="Cambria Math"/>
            </m:rPr>
            <m:t> tan 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  <m:r>
            <m:rPr>
              <m:scr m:val="Cambria Math"/>
            </m:rPr>
            <m:t> cos β</m:t>
          </m:r>
        </m:oMath>
      </m:oMathPara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1999" cy="2956439"/>
            <wp:docPr id="1" name="Picture 1" descr="图 1 运动学自行车模型及主要几何量" title="图 1 运动学自行车模型及主要几何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L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95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1 运动学自行车模型及主要几何量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对半径为 R 的圆周运动，曲率、法向加速度与小侧偏稳态关系如下。本实验圆形路径半径 R = 12 m，默认轴距为 2.5 m。</w:t>
      </w:r>
    </w:p>
    <w:p>
      <w:pPr>
        <w:spacing w:after="80" w:line="276" w:lineRule="auto"/>
        <w:jc w:val="center"/>
      </w:pPr>
      <m:oMathPara>
        <m:oMath>
          <m:r>
            <m:rPr>
              <m:scr m:val="Cambria Math"/>
            </m:rPr>
            <m:t>κ = </m:t>
          </m:r>
          <m:f>
            <m:num>
              <m:e>
                <m:r>
                  <m:rPr>
                    <m:scr m:val="Cambria Math"/>
                  </m:rPr>
                  <m:t>1</m:t>
                </m:r>
              </m:e>
            </m:num>
            <m:den>
              <m:e>
                <m:r>
                  <m:rPr>
                    <m:scr m:val="Cambria Math"/>
                  </m:rPr>
                  <m:t>R</m:t>
                </m:r>
              </m:e>
            </m:den>
          </m:f>
          <m:r>
            <m:rPr>
              <m:scr m:val="Cambria Math"/>
            </m:rPr>
            <m:t>,  </m:t>
          </m:r>
          <m:sSub>
            <m:e>
              <m:r>
                <m:rPr>
                  <m:scr m:val="Cambria Math"/>
                </m:rPr>
                <m:t>a</m:t>
              </m:r>
            </m:e>
            <m:sub>
              <m:r>
                <m:rPr>
                  <m:scr m:val="Cambria Math"/>
                </m:rPr>
                <m:t>n</m:t>
              </m:r>
            </m:sub>
          </m:sSub>
          <m:r>
            <m:rPr>
              <m:scr m:val="Cambria Math"/>
            </m:rPr>
            <m:t> = </m:t>
          </m:r>
          <m:sSup>
            <m:e>
              <m:r>
                <m:rPr>
                  <m:scr m:val="Cambria Math"/>
                </m:rPr>
                <m:t>v</m:t>
              </m:r>
            </m:e>
            <m:sup>
              <m:r>
                <m:rPr>
                  <m:scr m:val="Cambria Math"/>
                </m:rPr>
                <m:t>2</m:t>
              </m:r>
            </m:sup>
          </m:sSup>
          <m:r>
            <m:rPr>
              <m:scr m:val="Cambria Math"/>
            </m:rPr>
            <m:t>κ</m:t>
          </m:r>
        </m:oMath>
      </m:oMathPara>
    </w:p>
    <w:p>
      <w:pPr>
        <w:spacing w:after="80" w:line="276" w:lineRule="auto"/>
        <w:jc w:val="center"/>
      </w:pPr>
      <m:oMathPara>
        <m:oMath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  <m:r>
            <m:rPr>
              <m:scr m:val="Cambria Math"/>
            </m:rPr>
            <m:t> ≈ arctan[(</m:t>
          </m:r>
          <m:sSub>
            <m:e>
              <m:r>
                <m:rPr>
                  <m:scr m:val="Cambria Math"/>
                </m:rPr>
                <m:t>l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  <m:r>
            <m:rPr>
              <m:scr m:val="Cambria Math"/>
            </m:rPr>
            <m:t> + </m:t>
          </m:r>
          <m:sSub>
            <m:e>
              <m:r>
                <m:rPr>
                  <m:scr m:val="Cambria Math"/>
                </m:rPr>
                <m:t>l</m:t>
              </m:r>
            </m:e>
            <m:sub>
              <m:r>
                <m:rPr>
                  <m:scr m:val="Cambria Math"/>
                </m:rPr>
                <m:t>r</m:t>
              </m:r>
            </m:sub>
          </m:sSub>
          <m:r>
            <m:rPr>
              <m:scr m:val="Cambria Math"/>
            </m:rPr>
            <m:t>)κ],  </m:t>
          </m:r>
          <m:f>
            <m:num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ψ</m:t>
                </m:r>
              </m:e>
            </m:num>
            <m:den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t</m:t>
                </m:r>
              </m:e>
            </m:den>
          </m:f>
          <m:r>
            <m:rPr>
              <m:scr m:val="Cambria Math"/>
            </m:rPr>
            <m:t> ≈ vκ</m:t>
          </m:r>
        </m:oMath>
      </m:oMathPara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16000" cy="1778136"/>
            <wp:docPr id="2" name="Picture 2" descr="图 2 圆周运动中的曲率与法向加速度关系" title="图 2 圆周运动中的曲率与法向加速度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177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2 圆周运动中的曲率与法向加速度关系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75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课程量</w:t>
            </w:r>
          </w:p>
        </w:tc>
        <w:tc>
          <w:tcPr>
            <w:tcW w:type="dxa" w:w="3969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代码与日志字段</w:t>
            </w:r>
          </w:p>
        </w:tc>
        <w:tc>
          <w:tcPr>
            <w:tcW w:type="dxa" w:w="30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5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前轮转角 δf</w:t>
            </w:r>
          </w:p>
        </w:tc>
        <w:tc>
          <w:tcPr>
            <w:tcW w:type="dxa" w:w="3969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ControlCommand.steer / trajectory.csv: steer</w:t>
            </w:r>
          </w:p>
        </w:tc>
        <w:tc>
          <w:tcPr>
            <w:tcW w:type="dxa" w:w="30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转向控制输入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侧偏角 β</w:t>
            </w:r>
          </w:p>
        </w:tc>
        <w:tc>
          <w:tcPr>
            <w:tcW w:type="dxa" w:w="396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StepRecord.beta / trajectory.csv: beta</w:t>
            </w:r>
          </w:p>
        </w:tc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自行车模型侧偏角</w:t>
            </w:r>
          </w:p>
        </w:tc>
      </w:tr>
      <w:tr>
        <w:tc>
          <w:tcPr>
            <w:tcW w:type="dxa" w:w="175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横摆角速度 ψ_dot</w:t>
            </w:r>
          </w:p>
        </w:tc>
        <w:tc>
          <w:tcPr>
            <w:tcW w:type="dxa" w:w="3969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StepRecord.yaw_rate / trajectory.csv: yaw_rate</w:t>
            </w:r>
          </w:p>
        </w:tc>
        <w:tc>
          <w:tcPr>
            <w:tcW w:type="dxa" w:w="30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车辆航向变化速度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法向加速度 an</w:t>
            </w:r>
          </w:p>
        </w:tc>
        <w:tc>
          <w:tcPr>
            <w:tcW w:type="dxa" w:w="396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StepRecord.normal_accel</w:t>
            </w:r>
          </w:p>
        </w:tc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v²κ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81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973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设置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车辆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student_car；轴距 2.5 m；最大转角 35 deg；最大转角速度 45 deg/s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仿真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采样周期 0.1 s；车辆仅前进；速度由路径速度档设定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 1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双移线、直角弯、S 弯；统一中速档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 2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 = 12 m 圆形路径；低、中、高速分别为 3、5、7 m/s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评价指标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是否到达终点、平均/最大横向误差、最大转角、最大法向加速度、最大横摆角速度、平均绝对转角变化率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4 任务一 多路径算法对比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算法</w:t>
            </w:r>
          </w:p>
        </w:tc>
        <w:tc>
          <w:tcPr>
            <w:tcW w:type="dxa" w:w="153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路线</w:t>
            </w:r>
          </w:p>
        </w:tc>
        <w:tc>
          <w:tcPr>
            <w:tcW w:type="dxa" w:w="62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到达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平均误差 m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最大误差 m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最大转角 rad</w:t>
            </w:r>
          </w:p>
        </w:tc>
        <w:tc>
          <w:tcPr>
            <w:tcW w:type="dxa" w:w="147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最大法向加速度</w:t>
            </w:r>
          </w:p>
        </w:tc>
        <w:tc>
          <w:tcPr>
            <w:tcW w:type="dxa" w:w="13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平均 |dδ/dt|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double_lane_change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0.314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0.945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0.335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9.206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0.157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double_lane_change</w:t>
            </w:r>
          </w:p>
        </w:tc>
        <w:tc>
          <w:tcPr>
            <w:tcW w:type="dxa" w:w="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0.190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0.658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0.611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9.214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4.366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double_lane_change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0.186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0.472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0.448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8.777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0.392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right_angle</w:t>
            </w:r>
          </w:p>
        </w:tc>
        <w:tc>
          <w:tcPr>
            <w:tcW w:type="dxa" w:w="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0.135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1.106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0.424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5.970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0.077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right_angle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0.099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0.719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0.611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5.979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0.627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right_angle</w:t>
            </w:r>
          </w:p>
        </w:tc>
        <w:tc>
          <w:tcPr>
            <w:tcW w:type="dxa" w:w="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0.080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0.472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0.516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5.536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0.150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s_curve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0.333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1.171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0.587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11.186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0.292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s_curve</w:t>
            </w:r>
          </w:p>
        </w:tc>
        <w:tc>
          <w:tcPr>
            <w:tcW w:type="dxa" w:w="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0.216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0.547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0.611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11.188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1.458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s_curve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0.197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0.530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0.580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10.345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0.365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结果分析：MPC 在三条路线上的平均横向误差均为最小，其中双移线和直角弯的最大误差均为 0.472 m。PP 对前视距离敏感，在直角弯和 S 弯的最大误差分别为 1.106 m 和 1.171 m。运动学 LQR 在双移线和 S 弯中出现较大的转角变化率，且在双移线中触及 35 deg 转角上限；这说明高反馈增益能够压低误差，但会提高控制激烈程度。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5 参数变化实验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算法</w:t>
            </w:r>
          </w:p>
        </w:tc>
        <w:tc>
          <w:tcPr>
            <w:tcW w:type="dxa" w:w="147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转角上限 deg</w:t>
            </w:r>
          </w:p>
        </w:tc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平均误差 m</w:t>
            </w:r>
          </w:p>
        </w:tc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最大误差 m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实际最大转角 rad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平均 |dδ/dt|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PP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0.314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0.945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0.335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0.157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PP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0.314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0.945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0.335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0.157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运动学 LQR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0.190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0.658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0.611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4.366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运动学 LQR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0.183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0.510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0.436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3.020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当最大转角由 35 deg 降至 25 deg 时，PP 在该中速双移线工况的需求转角未触及新上限，因此指标几乎不变。运动学 LQR 的最大转角由 0.611 rad 降至 0.436 rad，平均转角变化率由 4.366 降至 3.020 rad/s，同时平均与最大横向误差略有下降。本组结果表明，该路线下原始 LQR 的 35 deg 饱和会引入控制突变；适度约束可改善其动态行为。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6 任务二 圆形路径速度验证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速度档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v m/s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理论 δf rad</w:t>
            </w:r>
          </w:p>
        </w:tc>
        <w:tc>
          <w:tcPr>
            <w:tcW w:type="dxa" w:w="2268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理论 ψ_dot rad/s</w:t>
            </w:r>
          </w:p>
        </w:tc>
        <w:tc>
          <w:tcPr>
            <w:tcW w:type="dxa" w:w="198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理论 an m/s²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低速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3.0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0.205</w:t>
            </w:r>
          </w:p>
        </w:tc>
        <w:tc>
          <w:tcPr>
            <w:tcW w:type="dxa" w:w="226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0.250</w:t>
            </w:r>
          </w:p>
        </w:tc>
        <w:tc>
          <w:tcPr>
            <w:tcW w:type="dxa" w:w="198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0.750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中速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5.0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0.205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0.417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2.083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高速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7.0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0.205</w:t>
            </w:r>
          </w:p>
        </w:tc>
        <w:tc>
          <w:tcPr>
            <w:tcW w:type="dxa" w:w="226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0.583</w:t>
            </w:r>
          </w:p>
        </w:tc>
        <w:tc>
          <w:tcPr>
            <w:tcW w:type="dxa" w:w="198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4.083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算法</w:t>
            </w:r>
          </w:p>
        </w:tc>
        <w:tc>
          <w:tcPr>
            <w:tcW w:type="dxa" w:w="96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速度</w:t>
            </w:r>
          </w:p>
        </w:tc>
        <w:tc>
          <w:tcPr>
            <w:tcW w:type="dxa" w:w="56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到达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平均误差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最大误差</w:t>
            </w:r>
          </w:p>
        </w:tc>
        <w:tc>
          <w:tcPr>
            <w:tcW w:type="dxa" w:w="119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稳态转角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稳态横摆角速度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稳态法向加速度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低速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0.286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0.446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0.214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0.259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0.750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中速</w:t>
            </w:r>
          </w:p>
        </w:tc>
        <w:tc>
          <w:tcPr>
            <w:tcW w:type="dxa" w:w="56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0.288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0.505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0.416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1.923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高速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0.275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0.525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0.527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3.169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低速</w:t>
            </w:r>
          </w:p>
        </w:tc>
        <w:tc>
          <w:tcPr>
            <w:tcW w:type="dxa" w:w="56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0.219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0.342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0.211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0.256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0.750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中速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0.239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0.413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0.211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0.409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1.918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高速</w:t>
            </w:r>
          </w:p>
        </w:tc>
        <w:tc>
          <w:tcPr>
            <w:tcW w:type="dxa" w:w="56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0.190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0.476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0.200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0.522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3.162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低速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0.147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0.231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0.210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0.256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0.759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中速</w:t>
            </w:r>
          </w:p>
        </w:tc>
        <w:tc>
          <w:tcPr>
            <w:tcW w:type="dxa" w:w="56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0.157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0.254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0.211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0.416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1.995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高速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0.166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0.349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0.212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0.595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4.014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验证结果：三种算法和三档速度均到达终点。稳态转角基本保持在 0.20 至 0.215 rad，与理论值 0.205 rad 接近，说明固定曲率下几何所需转角与速度近似无关。MPC 在中速时的稳态横摆角速度为 0.416 rad/s，与理论 0.417 rad/s 基本一致；高速时稳态法向加速度为 4.014 m/s²，接近理论 4.083 m/s²。法向加速度随速度平方增加：从 3 m/s 的约 0.75 m/s² 提升到 7 m/s 的约 4.0 m/s²。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高速下，运动学 LQR 最大转角达到 0.611 rad 并且平均转角变化率为 4.643 rad/s，明显高于 PP 和 MPC，反映出固定采样周期内修正时间缩短、转向饱和和相位滞后的共同影响。MPC 利用预测与约束，在三种速度下的平均横向误差均最低或接近最低。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7 三个关键变量的敏感性实验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速度升高会使单位时间内可用于消除横向和航向误差的距离缩短；对于给定曲率，法向加速度又随速度平方增加。因此，执行器带宽、转角上限和预测距离不足时，控制器更容易出现滞后、饱和或高频修正。该结论是“通常更难”的机理说明，而不是声称每一个控制器在每一条路线上的误差都必然单调增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53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算法</w:t>
            </w:r>
          </w:p>
        </w:tc>
        <w:tc>
          <w:tcPr>
            <w:tcW w:type="dxa" w:w="119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速度 m/s</w:t>
            </w:r>
          </w:p>
        </w:tc>
        <w:tc>
          <w:tcPr>
            <w:tcW w:type="dxa" w:w="680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到达</w:t>
            </w:r>
          </w:p>
        </w:tc>
        <w:tc>
          <w:tcPr>
            <w:tcW w:type="dxa" w:w="13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平均误差 m</w:t>
            </w:r>
          </w:p>
        </w:tc>
        <w:tc>
          <w:tcPr>
            <w:tcW w:type="dxa" w:w="13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最大误差 m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 |dδ/dt|</w:t>
            </w:r>
          </w:p>
        </w:tc>
        <w:tc>
          <w:tcPr>
            <w:tcW w:type="dxa" w:w="147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最大转角 rad</w:t>
            </w:r>
          </w:p>
        </w:tc>
      </w:tr>
      <w:tr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0.008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0.074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0.020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0.154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0.010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0.090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0.026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0.158</w:t>
            </w:r>
          </w:p>
        </w:tc>
      </w:tr>
      <w:tr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0.013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0.099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0.025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0.148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运动学 LQR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0.030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0.225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0.142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0.230</w:t>
            </w:r>
          </w:p>
        </w:tc>
      </w:tr>
      <w:tr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运动学 LQR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0.035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0.254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0.655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0.276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运动学 LQR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0.221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0.415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10.929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0.611</w:t>
            </w:r>
          </w:p>
        </w:tc>
      </w:tr>
      <w:tr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PP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0.047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0.319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0.034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0.155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PP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0.049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0.350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0.032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0.153</w:t>
            </w:r>
          </w:p>
        </w:tc>
      </w:tr>
      <w:tr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PP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0.050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0.329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0.021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0.140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实验中，运动学 LQR 的平均误差由 3 m/s 时的 0.030 m 增至 7 m/s 时的 0.221 m，平均绝对转角变化率由 0.142 增至 10.929 rad/s，并触及 0.611 rad 转角上限。PP 与动力学 LQR 在该平滑路线中仍保持稳定，说明速度本身并非充分条件；路线曲率、模型失配和控制约束共同决定难度。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变量</w:t>
            </w:r>
          </w:p>
        </w:tc>
        <w:tc>
          <w:tcPr>
            <w:tcW w:type="dxa" w:w="13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取值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代表控制器</w:t>
            </w:r>
          </w:p>
        </w:tc>
        <w:tc>
          <w:tcPr>
            <w:tcW w:type="dxa" w:w="153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平均误差 m</w:t>
            </w:r>
          </w:p>
        </w:tc>
        <w:tc>
          <w:tcPr>
            <w:tcW w:type="dxa" w:w="153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最大误差 m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实际最大转角 rad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最大前轮转角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 deg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PP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0.201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4.919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0.087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最大前轮转角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 deg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PP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0.049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0.345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0.140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最大前轮转角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12 deg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PP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0.049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0.350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0.153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最大前轮转角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20 deg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PP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0.049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0.350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0.153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轴距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2.2 m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0.010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0.083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0.142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轴距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2.5 m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0.010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0.090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0.158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轴距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2.8 m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0.011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0.085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0.174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最大转角从 20 deg 收紧到 5 deg 时，PP 的平均误差由约 0.049 m 增至 0.201 m，最大误差增至 4.919 m，表明该路线的弯道需要超过 5 deg 的转向能力。轴距在 2.2 至 2.8 m 变化时，动力学 LQR 平均误差保持约 0.010 m，但实际最大转角随轴距增加而增大，符合更长轴距需要更大几何转角的预期。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34522"/>
            <wp:docPr id="3" name="Picture 3" descr="图 3 速度、最大转角和轴距三个变量的敏感性实验" title="图 3 速度、最大转角和轴距三个变量的敏感性实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variable_swe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3 速度、最大转角和轴距三个变量的敏感性实验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8 车辆模型重建与模型对比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运动学模型将车辆视为无侧偏的刚体，适合低速或几何关系主导的跟踪；动力学 LQR 以横向误差、横向速度误差、航向误差和横摆角速度误差为状态，并显式使用车辆质量、转动惯量、前后轮侧偏刚度和速度构建时变线性系统：</w:t>
      </w:r>
    </w:p>
    <w:p>
      <w:pPr>
        <w:spacing w:after="80" w:line="276" w:lineRule="auto"/>
        <w:jc w:val="center"/>
      </w:pPr>
      <m:oMathPara>
        <m:oMath>
          <m:r>
            <m:rPr>
              <m:scr m:val="Cambria Math"/>
            </m:rPr>
            <m:t>ė = A(v)e + B 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</m:oMath>
      </m:oMathPara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因此，该模型可反映速度变化对轮胎侧偏与横摆响应的影响。两类 LQR 均使用同一路径、同一速度上限、同一采样周期和同一车辆几何参数。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30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速度 m/s</w:t>
            </w:r>
          </w:p>
        </w:tc>
        <w:tc>
          <w:tcPr>
            <w:tcW w:type="dxa" w:w="1928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模型控制器</w:t>
            </w:r>
          </w:p>
        </w:tc>
        <w:tc>
          <w:tcPr>
            <w:tcW w:type="dxa" w:w="680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到达</w:t>
            </w:r>
          </w:p>
        </w:tc>
        <w:tc>
          <w:tcPr>
            <w:tcW w:type="dxa" w:w="153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平均误差 m</w:t>
            </w:r>
          </w:p>
        </w:tc>
        <w:tc>
          <w:tcPr>
            <w:tcW w:type="dxa" w:w="153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最大误差 m</w:t>
            </w:r>
          </w:p>
        </w:tc>
        <w:tc>
          <w:tcPr>
            <w:tcW w:type="dxa" w:w="181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 |dδ/dt|</w:t>
            </w:r>
          </w:p>
        </w:tc>
      </w:tr>
      <w:tr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92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0.008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0.074</w:t>
            </w:r>
          </w:p>
        </w:tc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0.020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0.010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0.090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0.026</w:t>
            </w:r>
          </w:p>
        </w:tc>
      </w:tr>
      <w:tr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92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动力学 LQR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0.013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0.099</w:t>
            </w:r>
          </w:p>
        </w:tc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0.025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运动学 LQR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0.030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0.225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0.142</w:t>
            </w:r>
          </w:p>
        </w:tc>
      </w:tr>
      <w:tr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92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运动学 LQR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0.035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0.254</w:t>
            </w:r>
          </w:p>
        </w:tc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0.655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运动学 LQR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0.221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0.415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10.929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在 3、5、7 m/s 下，动力学 LQR 的平均误差分别为 0.008、0.010、0.013 m，而运动学 LQR 在 7 m/s 时升至 0.221 m 并发生转角饱和。该结果支持在较高速度、曲率连续变化的路线上引入侧偏刚度与横摆动力学；但它来自确定性仿真，不能替代真实轮胎和路面参数的实车标定。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32853"/>
            <wp:docPr id="4" name="Picture 4" descr="图 4 运动学与动力学 LQR 的速度敏感性和中速轨迹对比" title="图 4 运动学与动力学 LQR 的速度敏感性和中速轨迹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ematic_dynamic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2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4 运动学与动力学 LQR 的速度敏感性和中速轨迹对比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9 创新设计 执行器感知 MPC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标准线性 MPC 通常约束预测时域中相邻控制量的变化，但首个即将执行的控制量可能与上一帧实际转角不连续。本组对 QP 首步控制量加入如下执行器连续性约束，并在求解后将第一步动作投影到同一边界：</w:t>
      </w:r>
    </w:p>
    <w:p>
      <w:pPr>
        <w:spacing w:after="80" w:line="276" w:lineRule="auto"/>
        <w:jc w:val="center"/>
      </w:pPr>
      <m:oMathPara>
        <m:oMath>
          <m:r>
            <m:rPr>
              <m:scr m:val="Cambria Math"/>
            </m:rPr>
            <m:t>|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0</m:t>
              </m:r>
            </m:sub>
          </m:sSub>
          <m:r>
            <m:rPr>
              <m:scr m:val="Cambria Math"/>
            </m:rPr>
            <m:t> − 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previous</m:t>
              </m:r>
            </m:sub>
          </m:sSub>
          <m:r>
            <m:rPr>
              <m:scr m:val="Cambria Math"/>
            </m:rPr>
            <m:t>| ≤ </m:t>
          </m:r>
          <m:sSub>
            <m:e>
              <m:r>
                <m:rPr>
                  <m:scr m:val="Cambria Math"/>
                </m:rPr>
                <m:t>δ̇</m:t>
              </m:r>
            </m:e>
            <m:sub>
              <m:r>
                <m:rPr>
                  <m:scr m:val="Cambria Math"/>
                </m:rPr>
                <m:t>max</m:t>
              </m:r>
            </m:sub>
          </m:sSub>
          <m:r>
            <m:rPr>
              <m:scr m:val="Cambria Math"/>
            </m:rPr>
            <m:t> Δt</m:t>
          </m:r>
        </m:oMath>
      </m:oMathPara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该约束直接对应转向执行器的连续性要求。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204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方案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速度</w:t>
            </w:r>
          </w:p>
        </w:tc>
        <w:tc>
          <w:tcPr>
            <w:tcW w:type="dxa" w:w="130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平均误差 m</w:t>
            </w:r>
          </w:p>
        </w:tc>
        <w:tc>
          <w:tcPr>
            <w:tcW w:type="dxa" w:w="130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最大误差 m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 |dδ/dt|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 |dδ/dt|</w:t>
            </w:r>
          </w:p>
        </w:tc>
      </w:tr>
      <w:tr>
        <w:tc>
          <w:tcPr>
            <w:tcW w:type="dxa" w:w="204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基准 MPC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低速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0.144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0.226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0.509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1.089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基准 MPC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中速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0.157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0.254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0.018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0.263</w:t>
            </w:r>
          </w:p>
        </w:tc>
      </w:tr>
      <w:tr>
        <w:tc>
          <w:tcPr>
            <w:tcW w:type="dxa" w:w="204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基准 MPC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高速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0.168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0.348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0.665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1.735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执行器感知 MPC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低速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0.147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0.231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0.407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0.785</w:t>
            </w:r>
          </w:p>
        </w:tc>
      </w:tr>
      <w:tr>
        <w:tc>
          <w:tcPr>
            <w:tcW w:type="dxa" w:w="204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执行器感知 MPC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中速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0.157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0.254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0.018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0.263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执行器感知 MPC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高速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0.166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0.349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0.357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0.785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33983"/>
            <wp:docPr id="5" name="Picture 5" descr="图 5 高速圆形路径下的轨迹与控制时序对比" title="图 5 高速圆形路径下的轨迹与控制时序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_rate_limit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3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5 高速圆形路径下的轨迹与控制时序对比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79602"/>
            <wp:docPr id="6" name="Picture 6" descr="图 6 精度与平滑性权衡的多视图比较" title="图 6 精度与平滑性权衡的多视图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_rate_limit_trade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9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6 精度与平滑性权衡的多视图比较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高速工况中，执行器感知 MPC 的平均绝对转角变化率由 0.665 降至 0.357 rad/s，下降 46.2%；最大变化率由 1.735 降至 0.785 rad/s，下降 54.7%。平均横向误差由 0.168 m 降至 0.166 m，最大横向误差仅从 0.348 m 变化到 0.349 m。结果说明所加约束抑制了转向突变，并未显著牺牲跟踪精度。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10 任务三 寝室至教学楼导航任务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用户提供的高德步行导航图显示，寝室至教学楼路线为 868 m、预计步行 12 分钟。根据截图中的路线折线提取 9 个局部路点，并以连续样条生成 868.88 m 的东—北（ENU）参考路径。该路径用于控制仿真，不宣称为高精度 GPS 或真实道路中心线。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34951"/>
            <wp:docPr id="7" name="Picture 7" descr="图 7 高德路线依据与 868 m 本地导航参考路径重建" title="图 7 高德路线依据与 868 m 本地导航参考路径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p_route_reconstru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7 高德路线依据与 868 m 本地导航参考路径重建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53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算法</w:t>
            </w:r>
          </w:p>
        </w:tc>
        <w:tc>
          <w:tcPr>
            <w:tcW w:type="dxa" w:w="680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到达</w:t>
            </w:r>
          </w:p>
        </w:tc>
        <w:tc>
          <w:tcPr>
            <w:tcW w:type="dxa" w:w="147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参考长度 m</w:t>
            </w:r>
          </w:p>
        </w:tc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仿真用时 s</w:t>
            </w:r>
          </w:p>
        </w:tc>
        <w:tc>
          <w:tcPr>
            <w:tcW w:type="dxa" w:w="13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平均误差 m</w:t>
            </w:r>
          </w:p>
        </w:tc>
        <w:tc>
          <w:tcPr>
            <w:tcW w:type="dxa" w:w="13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最大误差 m</w:t>
            </w:r>
          </w:p>
        </w:tc>
        <w:tc>
          <w:tcPr>
            <w:tcW w:type="dxa" w:w="158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最大误差时刻 s</w:t>
            </w:r>
          </w:p>
        </w:tc>
      </w:tr>
      <w:tr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PP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是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868.88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180.1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0.049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0.350</w:t>
            </w:r>
          </w:p>
        </w:tc>
        <w:tc>
          <w:tcPr>
            <w:tcW w:type="dxa" w:w="158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129.8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运动学 LQR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是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868.88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180.2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0.035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0.254</w:t>
            </w:r>
          </w:p>
        </w:tc>
        <w:tc>
          <w:tcPr>
            <w:tcW w:type="dxa" w:w="15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130.2</w:t>
            </w:r>
          </w:p>
        </w:tc>
      </w:tr>
      <w:tr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动力学 LQR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是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868.88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180.3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0.010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0.090</w:t>
            </w:r>
          </w:p>
        </w:tc>
        <w:tc>
          <w:tcPr>
            <w:tcW w:type="dxa" w:w="158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132.0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执行器感知 MPC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是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868.88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179.1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0.122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0.469</w:t>
            </w:r>
          </w:p>
        </w:tc>
        <w:tc>
          <w:tcPr>
            <w:tcW w:type="dxa" w:w="15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130.0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四种控制器均到达终点。以 PP 为例，最大横向误差为 0.350 m，发生在 t=129.8 s 的连续转弯段，已在图中以红点和时序虚线定位。5 m/s 的仿真用时约 180 s，不能与高德 12 分钟步行预估直接比较：前者是受路线限速的理想化车辆仿真，后者包含步行速度、过路和实际导航规则。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23286"/>
            <wp:docPr id="8" name="Picture 8" descr="图 8 PP 在寝室—教学楼路线上的跟踪轨迹与最大误差定位" title="图 8 PP 在寝室—教学楼路线上的跟踪轨迹与最大误差定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_navigation_trac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3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8 PP 在寝室—教学楼路线上的跟踪轨迹与最大误差定位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11 结论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第一，速度提高会通过法向加速度平方增长、可纠偏时间缩短和执行器饱和放大路径跟踪难度；本次路线中运动学 LQR 的高速结果给出了直接例证。第二，速度、最大转角和轴距三项变量均已进行定量扫描，结果显示转角裕度不足是最明确的性能瓶颈。第三，重建的动力学 LQR 在三档速度下保持更低的误差，说明侧偏和横摆动力学对高速跟踪具有解释价值。第四，基于高德截图重建的 868 m 寝室—教学楼路线已完成参考路径生成、PP 跟踪可视化、峰值误差定位及四类控制器的到达性对比。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本报告的数值结论来自确定性仿真，不应解释为统计显著性；截图重建路线也不替代测绘级 GPS。实际道路通勤还受到交通规则、其他道路参与者、限速和路径规划质量影响。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参考资料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[1] VehicleDynamicsMobility_01_BicycleModel.pdf，课程讲义。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[2] vdm_lab/tasks/README.md，课程任务书。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[3] 项目仿真日志与本报告生成的 comparison_metrics.csv、report_data.json、navigation_sweep_metrics.csv。</w:t>
      </w:r>
    </w:p>
    <w:sectPr w:rsidR="00FC693F" w:rsidRPr="0006063C" w:rsidSect="00034616">
      <w:footerReference w:type="default" r:id="rId9"/>
      <w:pgSz w:w="12240" w:h="15840"/>
      <w:pgMar w:top="1247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555555"/>
        <w:sz w:val="16"/>
      </w:rPr>
      <w:t xml:space="preserve">NullPointer 车辆路径跟踪控制实验报告  第 </w:t>
    </w:r>
    <w:r>
      <w:fldChar w:fldCharType="begin"/>
      <w:instrText xml:space="preserve">PAGE</w:instrText>
      <w:fldChar w:fldCharType="end"/>
    </w:r>
    <w:r>
      <w:rPr>
        <w:rFonts w:ascii="Arial" w:hAnsi="Arial" w:eastAsia="Microsoft YaHei"/>
        <w:b w:val="0"/>
        <w:color w:val="55555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车辆路径跟踪控制实验报告</dc:title>
  <dc:subject>VDM Path Tracking Lab</dc:subject>
  <dc:creator>NullPointer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