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pStyle w:val="Title"/>
        <w:jc w:val="center"/>
      </w:pPr>
      <w:r>
        <w:rPr>
          <w:rFonts w:ascii="Arial" w:hAnsi="Arial" w:eastAsia="Microsoft YaHei"/>
          <w:b/>
          <w:color w:val="000000"/>
          <w:sz w:val="48"/>
        </w:rPr>
        <w:t>车辆路径跟踪控制实验报告</w:t>
      </w:r>
    </w:p>
    <w:p>
      <w:pPr>
        <w:jc w:val="center"/>
      </w:pPr>
      <w:r>
        <w:rPr>
          <w:rFonts w:ascii="Arial" w:hAnsi="Arial" w:eastAsia="Microsoft YaHei"/>
          <w:b w:val="0"/>
          <w:color w:val="333333"/>
          <w:sz w:val="26"/>
        </w:rPr>
        <w:t>Pure Pursuit  线性二次型调节器  线性模型预测控制</w:t>
      </w:r>
    </w:p>
    <w:p>
      <w:pPr>
        <w:spacing w:after="8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shd w:fill="F7EEE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2"/>
              </w:rPr>
              <w:t>课程实验</w:t>
            </w:r>
          </w:p>
        </w:tc>
        <w:tc>
          <w:tcPr>
            <w:tcW w:type="dxa" w:w="48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2"/>
              </w:rPr>
              <w:t>自行车模型与路径跟踪</w:t>
            </w:r>
          </w:p>
        </w:tc>
      </w:tr>
      <w:tr>
        <w:tc>
          <w:tcPr>
            <w:tcW w:type="dxa" w:w="4844"/>
            <w:shd w:fill="F7EEE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2"/>
              </w:rPr>
              <w:t>小组名称</w:t>
            </w:r>
          </w:p>
        </w:tc>
        <w:tc>
          <w:tcPr>
            <w:tcW w:type="dxa" w:w="48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2"/>
              </w:rPr>
              <w:t>NullPointer</w:t>
            </w:r>
          </w:p>
        </w:tc>
      </w:tr>
      <w:tr>
        <w:tc>
          <w:tcPr>
            <w:tcW w:type="dxa" w:w="4844"/>
            <w:shd w:fill="F7EEE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2"/>
              </w:rPr>
              <w:t>完成日期</w:t>
            </w:r>
          </w:p>
        </w:tc>
        <w:tc>
          <w:tcPr>
            <w:tcW w:type="dxa" w:w="484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22"/>
              </w:rPr>
              <w:t>2026 年 9 月</w:t>
            </w:r>
          </w:p>
        </w:tc>
      </w:tr>
    </w:tbl>
    <w:p>
      <w:pPr>
        <w:spacing w:after="480"/>
      </w:pPr>
    </w:p>
    <w:p>
      <w:pPr>
        <w:spacing w:after="120" w:line="324" w:lineRule="auto"/>
        <w:jc w:val="center"/>
      </w:pPr>
      <w:r>
        <w:rPr>
          <w:rFonts w:ascii="Arial" w:hAnsi="Arial" w:eastAsia="Microsoft YaHei"/>
          <w:b w:val="0"/>
          <w:color w:val="000000"/>
          <w:sz w:val="21"/>
        </w:rPr>
        <w:t>报告结论：在三类典型路径和圆形速度实验中，执行器感知 MPC 均完成路径跟踪；高速圆形路径下，首步转角变化率约束将平均转向变化率降低 46.2%，同时保持近似不变的横向跟踪误差。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摘要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本实验围绕自行车模型路径跟踪问题，实现并比较 Pure Pursuit、运动学 LQR、动力学 LQR 与线性 MPC。实验使用双移线、直角弯、S 弯和半径 12 m 的圆形路径，统一车辆参数与采样周期，记录横向误差、前轮转角、横摆角速度和法向加速度。进一步针对传统 MPC 首步控制量可能突变的问题，提出执行器感知 MPC：在预测序列内部约束之外，显式约束当前首步转角相对上一时刻控制量的变化率。结果表明，MPC 在典型路径上具有较低的平均和最大横向误差；在高速圆形路径中，执行器感知约束可明显降低控制抖动。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19"/>
        </w:rPr>
        <w:t>关键词：自行车模型；路径跟踪；Pure Pursuit；LQR；模型预测控制；转角变化率约束</w:t>
      </w: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1 实验目标与分工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本报告完成三项实验任务：比较 PP、运动学 LQR 和 MPC 在不同路径几何下的表现；在固定曲率圆形路径中验证速度、横摆角速度和法向加速度关系；使用匿名 GPX 道路路线说明局部坐标转换、地图原点和最大偏差分析方法。NullPointer 小组在学生版代码中补齐四类控制器，并在 MPC 中实现执行器感知首步转角变化率约束。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181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工作项</w:t>
            </w:r>
          </w:p>
        </w:tc>
        <w:tc>
          <w:tcPr>
            <w:tcW w:type="dxa" w:w="6973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实现或验证内容</w:t>
            </w:r>
          </w:p>
        </w:tc>
      </w:tr>
      <w:tr>
        <w:tc>
          <w:tcPr>
            <w:tcW w:type="dxa" w:w="181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控制器实现</w:t>
            </w:r>
          </w:p>
        </w:tc>
        <w:tc>
          <w:tcPr>
            <w:tcW w:type="dxa" w:w="6973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PP、运动学 LQR、动力学 LQR、线性 MPC 的学生版 TODO 全部完成</w:t>
            </w:r>
          </w:p>
        </w:tc>
      </w:tr>
      <w:tr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公平性设置</w:t>
            </w:r>
          </w:p>
        </w:tc>
        <w:tc>
          <w:tcPr>
            <w:tcW w:type="dxa" w:w="697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同一路线、同一车辆、同一速度档与同一采样周期下比较算法</w:t>
            </w:r>
          </w:p>
        </w:tc>
      </w:tr>
      <w:tr>
        <w:tc>
          <w:tcPr>
            <w:tcW w:type="dxa" w:w="181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创新设计</w:t>
            </w:r>
          </w:p>
        </w:tc>
        <w:tc>
          <w:tcPr>
            <w:tcW w:type="dxa" w:w="6973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约束 MPC 第一个实际执行转角与上一帧转角的变化率，并做严格边界投影</w:t>
            </w:r>
          </w:p>
        </w:tc>
      </w:tr>
      <w:tr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可视化</w:t>
            </w:r>
          </w:p>
        </w:tc>
        <w:tc>
          <w:tcPr>
            <w:tcW w:type="dxa" w:w="697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轨迹、时序、柱状、散点和热图采用莫兰迪配色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2 理论模型与代码对应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在后轮不转向的运动学自行车模型中，前轮转角为 δf，侧偏角为 β，车辆质心位置为 (x, y)，航向角为 ψ，速度为 v。其状态更新关系如下：</w:t>
      </w:r>
    </w:p>
    <w:p>
      <w:pPr>
        <w:spacing w:after="80" w:line="276" w:lineRule="auto"/>
        <w:jc w:val="center"/>
      </w:pPr>
      <m:oMathPara>
        <m:oMath>
          <m:r>
            <m:rPr>
              <m:scr m:val="Cambria Math"/>
            </m:rPr>
            <m:t>β = arctan(</m:t>
          </m:r>
          <m:f>
            <m:num>
              <m:e>
                <m:sSub>
                  <m:e>
                    <m:r>
                      <m:rPr>
                        <m:scr m:val="Cambria Math"/>
                      </m:rPr>
                      <m:t>l</m:t>
                    </m:r>
                  </m:e>
                  <m:sub>
                    <m:r>
                      <m:rPr>
                        <m:scr m:val="Cambria Math"/>
                      </m:rPr>
                      <m:t>r</m:t>
                    </m:r>
                  </m:sub>
                </m:sSub>
              </m:e>
            </m:num>
            <m:den>
              <m:e>
                <m:r>
                  <m:rPr>
                    <m:scr m:val="Cambria Math"/>
                  </m:rPr>
                  <m:t>(</m:t>
                </m:r>
                <m:sSub>
                  <m:e>
                    <m:r>
                      <m:rPr>
                        <m:scr m:val="Cambria Math"/>
                      </m:rPr>
                      <m:t>l</m:t>
                    </m:r>
                  </m:e>
                  <m:sub>
                    <m:r>
                      <m:rPr>
                        <m:scr m:val="Cambria Math"/>
                      </m:rPr>
                      <m:t>f</m:t>
                    </m:r>
                  </m:sub>
                </m:sSub>
                <m:r>
                  <m:rPr>
                    <m:scr m:val="Cambria Math"/>
                  </m:rPr>
                  <m:t> + </m:t>
                </m:r>
                <m:sSub>
                  <m:e>
                    <m:r>
                      <m:rPr>
                        <m:scr m:val="Cambria Math"/>
                      </m:rPr>
                      <m:t>l</m:t>
                    </m:r>
                  </m:e>
                  <m:sub>
                    <m:r>
                      <m:rPr>
                        <m:scr m:val="Cambria Math"/>
                      </m:rPr>
                      <m:t>r</m:t>
                    </m:r>
                  </m:sub>
                </m:sSub>
                <m:r>
                  <m:rPr>
                    <m:scr m:val="Cambria Math"/>
                  </m:rPr>
                  <m:t>)</m:t>
                </m:r>
              </m:e>
            </m:den>
          </m:f>
          <m:r>
            <m:rPr>
              <m:scr m:val="Cambria Math"/>
            </m:rPr>
            <m:t> tan </m:t>
          </m:r>
          <m:sSub>
            <m:e>
              <m:r>
                <m:rPr>
                  <m:scr m:val="Cambria Math"/>
                </m:rPr>
                <m:t>δ</m:t>
              </m:r>
            </m:e>
            <m:sub>
              <m:r>
                <m:rPr>
                  <m:scr m:val="Cambria Math"/>
                </m:rPr>
                <m:t>f</m:t>
              </m:r>
            </m:sub>
          </m:sSub>
          <m:r>
            <m:rPr>
              <m:scr m:val="Cambria Math"/>
            </m:rPr>
            <m:t>)</m:t>
          </m:r>
        </m:oMath>
      </m:oMathPara>
    </w:p>
    <w:p>
      <w:pPr>
        <w:spacing w:after="80" w:line="276" w:lineRule="auto"/>
        <w:jc w:val="center"/>
      </w:pPr>
      <m:oMathPara>
        <m:oMath>
          <m:f>
            <m:num>
              <m:e>
                <m:r>
                  <m:rPr>
                    <m:scr m:val="Cambria Math"/>
                  </m:rPr>
                  <m:t>d</m:t>
                </m:r>
                <m:r>
                  <m:rPr>
                    <m:scr m:val="Cambria Math"/>
                  </m:rPr>
                  <m:t>x</m:t>
                </m:r>
              </m:e>
            </m:num>
            <m:den>
              <m:e>
                <m:r>
                  <m:rPr>
                    <m:scr m:val="Cambria Math"/>
                  </m:rPr>
                  <m:t>d</m:t>
                </m:r>
                <m:r>
                  <m:rPr>
                    <m:scr m:val="Cambria Math"/>
                  </m:rPr>
                  <m:t>t</m:t>
                </m:r>
              </m:e>
            </m:den>
          </m:f>
          <m:r>
            <m:rPr>
              <m:scr m:val="Cambria Math"/>
            </m:rPr>
            <m:t> = v cos(ψ + β)</m:t>
          </m:r>
        </m:oMath>
      </m:oMathPara>
    </w:p>
    <w:p>
      <w:pPr>
        <w:spacing w:after="80" w:line="276" w:lineRule="auto"/>
        <w:jc w:val="center"/>
      </w:pPr>
      <m:oMathPara>
        <m:oMath>
          <m:f>
            <m:num>
              <m:e>
                <m:r>
                  <m:rPr>
                    <m:scr m:val="Cambria Math"/>
                  </m:rPr>
                  <m:t>d</m:t>
                </m:r>
                <m:r>
                  <m:rPr>
                    <m:scr m:val="Cambria Math"/>
                  </m:rPr>
                  <m:t>y</m:t>
                </m:r>
              </m:e>
            </m:num>
            <m:den>
              <m:e>
                <m:r>
                  <m:rPr>
                    <m:scr m:val="Cambria Math"/>
                  </m:rPr>
                  <m:t>d</m:t>
                </m:r>
                <m:r>
                  <m:rPr>
                    <m:scr m:val="Cambria Math"/>
                  </m:rPr>
                  <m:t>t</m:t>
                </m:r>
              </m:e>
            </m:den>
          </m:f>
          <m:r>
            <m:rPr>
              <m:scr m:val="Cambria Math"/>
            </m:rPr>
            <m:t> = v sin(ψ + β)</m:t>
          </m:r>
        </m:oMath>
      </m:oMathPara>
    </w:p>
    <w:p>
      <w:pPr>
        <w:spacing w:after="80" w:line="276" w:lineRule="auto"/>
        <w:jc w:val="center"/>
      </w:pPr>
      <m:oMathPara>
        <m:oMath>
          <m:f>
            <m:num>
              <m:e>
                <m:r>
                  <m:rPr>
                    <m:scr m:val="Cambria Math"/>
                  </m:rPr>
                  <m:t>d</m:t>
                </m:r>
                <m:r>
                  <m:rPr>
                    <m:scr m:val="Cambria Math"/>
                  </m:rPr>
                  <m:t>ψ</m:t>
                </m:r>
              </m:e>
            </m:num>
            <m:den>
              <m:e>
                <m:r>
                  <m:rPr>
                    <m:scr m:val="Cambria Math"/>
                  </m:rPr>
                  <m:t>d</m:t>
                </m:r>
                <m:r>
                  <m:rPr>
                    <m:scr m:val="Cambria Math"/>
                  </m:rPr>
                  <m:t>t</m:t>
                </m:r>
              </m:e>
            </m:den>
          </m:f>
          <m:r>
            <m:rPr>
              <m:scr m:val="Cambria Math"/>
            </m:rPr>
            <m:t> = </m:t>
          </m:r>
          <m:f>
            <m:num>
              <m:e>
                <m:r>
                  <m:rPr>
                    <m:scr m:val="Cambria Math"/>
                  </m:rPr>
                  <m:t>v</m:t>
                </m:r>
              </m:e>
            </m:num>
            <m:den>
              <m:e>
                <m:r>
                  <m:rPr>
                    <m:scr m:val="Cambria Math"/>
                  </m:rPr>
                  <m:t>(</m:t>
                </m:r>
                <m:sSub>
                  <m:e>
                    <m:r>
                      <m:rPr>
                        <m:scr m:val="Cambria Math"/>
                      </m:rPr>
                      <m:t>l</m:t>
                    </m:r>
                  </m:e>
                  <m:sub>
                    <m:r>
                      <m:rPr>
                        <m:scr m:val="Cambria Math"/>
                      </m:rPr>
                      <m:t>f</m:t>
                    </m:r>
                  </m:sub>
                </m:sSub>
                <m:r>
                  <m:rPr>
                    <m:scr m:val="Cambria Math"/>
                  </m:rPr>
                  <m:t> + </m:t>
                </m:r>
                <m:sSub>
                  <m:e>
                    <m:r>
                      <m:rPr>
                        <m:scr m:val="Cambria Math"/>
                      </m:rPr>
                      <m:t>l</m:t>
                    </m:r>
                  </m:e>
                  <m:sub>
                    <m:r>
                      <m:rPr>
                        <m:scr m:val="Cambria Math"/>
                      </m:rPr>
                      <m:t>r</m:t>
                    </m:r>
                  </m:sub>
                </m:sSub>
                <m:r>
                  <m:rPr>
                    <m:scr m:val="Cambria Math"/>
                  </m:rPr>
                  <m:t>)</m:t>
                </m:r>
              </m:e>
            </m:den>
          </m:f>
          <m:r>
            <m:rPr>
              <m:scr m:val="Cambria Math"/>
            </m:rPr>
            <m:t> tan </m:t>
          </m:r>
          <m:sSub>
            <m:e>
              <m:r>
                <m:rPr>
                  <m:scr m:val="Cambria Math"/>
                </m:rPr>
                <m:t>δ</m:t>
              </m:r>
            </m:e>
            <m:sub>
              <m:r>
                <m:rPr>
                  <m:scr m:val="Cambria Math"/>
                </m:rPr>
                <m:t>f</m:t>
              </m:r>
            </m:sub>
          </m:sSub>
          <m:r>
            <m:rPr>
              <m:scr m:val="Cambria Math"/>
            </m:rPr>
            <m:t> cos β</m:t>
          </m:r>
        </m:oMath>
      </m:oMathPara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31999" cy="2956439"/>
            <wp:docPr id="1" name="Picture 1" descr="图 1 运动学自行车模型及主要几何量" title="图 1 运动学自行车模型及主要几何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L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2956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YaHei"/>
          <w:b w:val="0"/>
          <w:color w:val="555555"/>
          <w:sz w:val="17"/>
        </w:rPr>
        <w:t>图 1 运动学自行车模型及主要几何量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对半径为 R 的圆周运动，曲率、法向加速度与小侧偏稳态关系如下。本实验圆形路径半径 R = 12 m，默认轴距为 2.5 m。</w:t>
      </w:r>
    </w:p>
    <w:p>
      <w:pPr>
        <w:spacing w:after="80" w:line="276" w:lineRule="auto"/>
        <w:jc w:val="center"/>
      </w:pPr>
      <m:oMathPara>
        <m:oMath>
          <m:r>
            <m:rPr>
              <m:scr m:val="Cambria Math"/>
            </m:rPr>
            <m:t>κ = </m:t>
          </m:r>
          <m:f>
            <m:num>
              <m:e>
                <m:r>
                  <m:rPr>
                    <m:scr m:val="Cambria Math"/>
                  </m:rPr>
                  <m:t>1</m:t>
                </m:r>
              </m:e>
            </m:num>
            <m:den>
              <m:e>
                <m:r>
                  <m:rPr>
                    <m:scr m:val="Cambria Math"/>
                  </m:rPr>
                  <m:t>R</m:t>
                </m:r>
              </m:e>
            </m:den>
          </m:f>
          <m:r>
            <m:rPr>
              <m:scr m:val="Cambria Math"/>
            </m:rPr>
            <m:t>,  </m:t>
          </m:r>
          <m:sSub>
            <m:e>
              <m:r>
                <m:rPr>
                  <m:scr m:val="Cambria Math"/>
                </m:rPr>
                <m:t>a</m:t>
              </m:r>
            </m:e>
            <m:sub>
              <m:r>
                <m:rPr>
                  <m:scr m:val="Cambria Math"/>
                </m:rPr>
                <m:t>n</m:t>
              </m:r>
            </m:sub>
          </m:sSub>
          <m:r>
            <m:rPr>
              <m:scr m:val="Cambria Math"/>
            </m:rPr>
            <m:t> = </m:t>
          </m:r>
          <m:sSup>
            <m:e>
              <m:r>
                <m:rPr>
                  <m:scr m:val="Cambria Math"/>
                </m:rPr>
                <m:t>v</m:t>
              </m:r>
            </m:e>
            <m:sup>
              <m:r>
                <m:rPr>
                  <m:scr m:val="Cambria Math"/>
                </m:rPr>
                <m:t>2</m:t>
              </m:r>
            </m:sup>
          </m:sSup>
          <m:r>
            <m:rPr>
              <m:scr m:val="Cambria Math"/>
            </m:rPr>
            <m:t>κ</m:t>
          </m:r>
        </m:oMath>
      </m:oMathPara>
    </w:p>
    <w:p>
      <w:pPr>
        <w:spacing w:after="80" w:line="276" w:lineRule="auto"/>
        <w:jc w:val="center"/>
      </w:pPr>
      <m:oMathPara>
        <m:oMath>
          <m:sSub>
            <m:e>
              <m:r>
                <m:rPr>
                  <m:scr m:val="Cambria Math"/>
                </m:rPr>
                <m:t>δ</m:t>
              </m:r>
            </m:e>
            <m:sub>
              <m:r>
                <m:rPr>
                  <m:scr m:val="Cambria Math"/>
                </m:rPr>
                <m:t>f</m:t>
              </m:r>
            </m:sub>
          </m:sSub>
          <m:r>
            <m:rPr>
              <m:scr m:val="Cambria Math"/>
            </m:rPr>
            <m:t> ≈ arctan[(</m:t>
          </m:r>
          <m:sSub>
            <m:e>
              <m:r>
                <m:rPr>
                  <m:scr m:val="Cambria Math"/>
                </m:rPr>
                <m:t>l</m:t>
              </m:r>
            </m:e>
            <m:sub>
              <m:r>
                <m:rPr>
                  <m:scr m:val="Cambria Math"/>
                </m:rPr>
                <m:t>f</m:t>
              </m:r>
            </m:sub>
          </m:sSub>
          <m:r>
            <m:rPr>
              <m:scr m:val="Cambria Math"/>
            </m:rPr>
            <m:t> + </m:t>
          </m:r>
          <m:sSub>
            <m:e>
              <m:r>
                <m:rPr>
                  <m:scr m:val="Cambria Math"/>
                </m:rPr>
                <m:t>l</m:t>
              </m:r>
            </m:e>
            <m:sub>
              <m:r>
                <m:rPr>
                  <m:scr m:val="Cambria Math"/>
                </m:rPr>
                <m:t>r</m:t>
              </m:r>
            </m:sub>
          </m:sSub>
          <m:r>
            <m:rPr>
              <m:scr m:val="Cambria Math"/>
            </m:rPr>
            <m:t>)κ],  </m:t>
          </m:r>
          <m:f>
            <m:num>
              <m:e>
                <m:r>
                  <m:rPr>
                    <m:scr m:val="Cambria Math"/>
                  </m:rPr>
                  <m:t>d</m:t>
                </m:r>
                <m:r>
                  <m:rPr>
                    <m:scr m:val="Cambria Math"/>
                  </m:rPr>
                  <m:t>ψ</m:t>
                </m:r>
              </m:e>
            </m:num>
            <m:den>
              <m:e>
                <m:r>
                  <m:rPr>
                    <m:scr m:val="Cambria Math"/>
                  </m:rPr>
                  <m:t>d</m:t>
                </m:r>
                <m:r>
                  <m:rPr>
                    <m:scr m:val="Cambria Math"/>
                  </m:rPr>
                  <m:t>t</m:t>
                </m:r>
              </m:e>
            </m:den>
          </m:f>
          <m:r>
            <m:rPr>
              <m:scr m:val="Cambria Math"/>
            </m:rPr>
            <m:t> ≈ vκ</m:t>
          </m:r>
        </m:oMath>
      </m:oMathPara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16000" cy="1778136"/>
            <wp:docPr id="2" name="Picture 2" descr="图 2 圆周运动中的曲率与法向加速度关系" title="图 2 圆周运动中的曲率与法向加速度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_c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1778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YaHei"/>
          <w:b w:val="0"/>
          <w:color w:val="555555"/>
          <w:sz w:val="17"/>
        </w:rPr>
        <w:t>图 2 圆周运动中的曲率与法向加速度关系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rPr>
          <w:tblHeader w:val="true"/>
        </w:trPr>
        <w:tc>
          <w:tcPr>
            <w:tcW w:type="dxa" w:w="1757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课程量</w:t>
            </w:r>
          </w:p>
        </w:tc>
        <w:tc>
          <w:tcPr>
            <w:tcW w:type="dxa" w:w="3969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代码与日志字段</w:t>
            </w:r>
          </w:p>
        </w:tc>
        <w:tc>
          <w:tcPr>
            <w:tcW w:type="dxa" w:w="306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75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前轮转角 δf</w:t>
            </w:r>
          </w:p>
        </w:tc>
        <w:tc>
          <w:tcPr>
            <w:tcW w:type="dxa" w:w="3969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ControlCommand.steer / trajectory.csv: steer</w:t>
            </w:r>
          </w:p>
        </w:tc>
        <w:tc>
          <w:tcPr>
            <w:tcW w:type="dxa" w:w="30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转向控制输入</w:t>
            </w:r>
          </w:p>
        </w:tc>
      </w:tr>
      <w:t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侧偏角 β</w:t>
            </w:r>
          </w:p>
        </w:tc>
        <w:tc>
          <w:tcPr>
            <w:tcW w:type="dxa" w:w="396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StepRecord.beta / trajectory.csv: beta</w:t>
            </w:r>
          </w:p>
        </w:tc>
        <w:tc>
          <w:tcPr>
            <w:tcW w:type="dxa" w:w="30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自行车模型侧偏角</w:t>
            </w:r>
          </w:p>
        </w:tc>
      </w:tr>
      <w:tr>
        <w:tc>
          <w:tcPr>
            <w:tcW w:type="dxa" w:w="175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横摆角速度 ψ_dot</w:t>
            </w:r>
          </w:p>
        </w:tc>
        <w:tc>
          <w:tcPr>
            <w:tcW w:type="dxa" w:w="3969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StepRecord.yaw_rate / trajectory.csv: yaw_rate</w:t>
            </w:r>
          </w:p>
        </w:tc>
        <w:tc>
          <w:tcPr>
            <w:tcW w:type="dxa" w:w="30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车辆航向变化速度</w:t>
            </w:r>
          </w:p>
        </w:tc>
      </w:tr>
      <w:tr>
        <w:tc>
          <w:tcPr>
            <w:tcW w:type="dxa" w:w="175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法向加速度 an</w:t>
            </w:r>
          </w:p>
        </w:tc>
        <w:tc>
          <w:tcPr>
            <w:tcW w:type="dxa" w:w="396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StepRecord.normal_accel</w:t>
            </w:r>
          </w:p>
        </w:tc>
        <w:tc>
          <w:tcPr>
            <w:tcW w:type="dxa" w:w="30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v²κ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3 实验设置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181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973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设置</w:t>
            </w:r>
          </w:p>
        </w:tc>
      </w:tr>
      <w:tr>
        <w:tc>
          <w:tcPr>
            <w:tcW w:type="dxa" w:w="181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车辆</w:t>
            </w:r>
          </w:p>
        </w:tc>
        <w:tc>
          <w:tcPr>
            <w:tcW w:type="dxa" w:w="6973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student_car；轴距 2.5 m；最大转角 35 deg；最大转角速度 45 deg/s</w:t>
            </w:r>
          </w:p>
        </w:tc>
      </w:tr>
      <w:tr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仿真</w:t>
            </w:r>
          </w:p>
        </w:tc>
        <w:tc>
          <w:tcPr>
            <w:tcW w:type="dxa" w:w="697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采样周期 0.1 s；车辆仅前进；速度由路径速度档设定</w:t>
            </w:r>
          </w:p>
        </w:tc>
      </w:tr>
      <w:tr>
        <w:tc>
          <w:tcPr>
            <w:tcW w:type="dxa" w:w="181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任务 1</w:t>
            </w:r>
          </w:p>
        </w:tc>
        <w:tc>
          <w:tcPr>
            <w:tcW w:type="dxa" w:w="6973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双移线、直角弯、S 弯；统一中速档</w:t>
            </w:r>
          </w:p>
        </w:tc>
      </w:tr>
      <w:tr>
        <w:tc>
          <w:tcPr>
            <w:tcW w:type="dxa" w:w="181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任务 2</w:t>
            </w:r>
          </w:p>
        </w:tc>
        <w:tc>
          <w:tcPr>
            <w:tcW w:type="dxa" w:w="697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 = 12 m 圆形路径；低、中、高速分别为 3、5、7 m/s</w:t>
            </w:r>
          </w:p>
        </w:tc>
      </w:tr>
      <w:tr>
        <w:tc>
          <w:tcPr>
            <w:tcW w:type="dxa" w:w="181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评价指标</w:t>
            </w:r>
          </w:p>
        </w:tc>
        <w:tc>
          <w:tcPr>
            <w:tcW w:type="dxa" w:w="6973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是否到达终点、平均/最大横向误差、最大转角、最大法向加速度、最大横摆角速度、平均绝对转角变化率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4 任务一 多路径算法对比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blHeader w:val="true"/>
        </w:trPr>
        <w:tc>
          <w:tcPr>
            <w:tcW w:type="dxa" w:w="1417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算法</w:t>
            </w:r>
          </w:p>
        </w:tc>
        <w:tc>
          <w:tcPr>
            <w:tcW w:type="dxa" w:w="153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路线</w:t>
            </w:r>
          </w:p>
        </w:tc>
        <w:tc>
          <w:tcPr>
            <w:tcW w:type="dxa" w:w="62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到达</w:t>
            </w:r>
          </w:p>
        </w:tc>
        <w:tc>
          <w:tcPr>
            <w:tcW w:type="dxa" w:w="113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平均误差 m</w:t>
            </w:r>
          </w:p>
        </w:tc>
        <w:tc>
          <w:tcPr>
            <w:tcW w:type="dxa" w:w="113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最大误差 m</w:t>
            </w:r>
          </w:p>
        </w:tc>
        <w:tc>
          <w:tcPr>
            <w:tcW w:type="dxa" w:w="113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最大转角 rad</w:t>
            </w:r>
          </w:p>
        </w:tc>
        <w:tc>
          <w:tcPr>
            <w:tcW w:type="dxa" w:w="147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最大法向加速度</w:t>
            </w:r>
          </w:p>
        </w:tc>
        <w:tc>
          <w:tcPr>
            <w:tcW w:type="dxa" w:w="136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平均 |dδ/dt|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PP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double_lane_change</w:t>
            </w:r>
          </w:p>
        </w:tc>
        <w:tc>
          <w:tcPr>
            <w:tcW w:type="dxa" w:w="62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0.314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0.945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0.335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9.206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0.157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运动学 LQR</w:t>
            </w:r>
          </w:p>
        </w:tc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double_lane_change</w:t>
            </w:r>
          </w:p>
        </w:tc>
        <w:tc>
          <w:tcPr>
            <w:tcW w:type="dxa" w:w="6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0.190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0.658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0.611</w:t>
            </w:r>
          </w:p>
        </w:tc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9.214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4.366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执行器感知 MPC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double_lane_change</w:t>
            </w:r>
          </w:p>
        </w:tc>
        <w:tc>
          <w:tcPr>
            <w:tcW w:type="dxa" w:w="62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0.186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0.472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0.448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8.777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0.392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PP</w:t>
            </w:r>
          </w:p>
        </w:tc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right_angle</w:t>
            </w:r>
          </w:p>
        </w:tc>
        <w:tc>
          <w:tcPr>
            <w:tcW w:type="dxa" w:w="6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0.135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1.106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0.424</w:t>
            </w:r>
          </w:p>
        </w:tc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5.970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0.077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运动学 LQR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right_angle</w:t>
            </w:r>
          </w:p>
        </w:tc>
        <w:tc>
          <w:tcPr>
            <w:tcW w:type="dxa" w:w="62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0.099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0.719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0.611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5.979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0.627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执行器感知 MPC</w:t>
            </w:r>
          </w:p>
        </w:tc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right_angle</w:t>
            </w:r>
          </w:p>
        </w:tc>
        <w:tc>
          <w:tcPr>
            <w:tcW w:type="dxa" w:w="6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0.080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0.472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0.516</w:t>
            </w:r>
          </w:p>
        </w:tc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5.536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0.150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PP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s_curve</w:t>
            </w:r>
          </w:p>
        </w:tc>
        <w:tc>
          <w:tcPr>
            <w:tcW w:type="dxa" w:w="62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0.333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1.171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0.587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11.186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0.292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运动学 LQR</w:t>
            </w:r>
          </w:p>
        </w:tc>
        <w:tc>
          <w:tcPr>
            <w:tcW w:type="dxa" w:w="153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s_curve</w:t>
            </w:r>
          </w:p>
        </w:tc>
        <w:tc>
          <w:tcPr>
            <w:tcW w:type="dxa" w:w="62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0.216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0.547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0.611</w:t>
            </w:r>
          </w:p>
        </w:tc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11.188</w:t>
            </w:r>
          </w:p>
        </w:tc>
        <w:tc>
          <w:tcPr>
            <w:tcW w:type="dxa" w:w="136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1.458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执行器感知 MPC</w:t>
            </w:r>
          </w:p>
        </w:tc>
        <w:tc>
          <w:tcPr>
            <w:tcW w:type="dxa" w:w="153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s_curve</w:t>
            </w:r>
          </w:p>
        </w:tc>
        <w:tc>
          <w:tcPr>
            <w:tcW w:type="dxa" w:w="62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0.197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0.530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0.580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10.345</w:t>
            </w:r>
          </w:p>
        </w:tc>
        <w:tc>
          <w:tcPr>
            <w:tcW w:type="dxa" w:w="136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0.365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结果分析：MPC 在三条路线上的平均横向误差均为最小，其中双移线和直角弯的最大误差均为 0.472 m。PP 对前视距离敏感，在直角弯和 S 弯的最大误差分别为 1.106 m 和 1.171 m。运动学 LQR 在双移线和 S 弯中出现较大的转角变化率，且在双移线中触及 35 deg 转角上限；这说明高反馈增益能够压低误差，但会提高控制激烈程度。</w:t>
      </w: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5 参数变化实验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算法</w:t>
            </w:r>
          </w:p>
        </w:tc>
        <w:tc>
          <w:tcPr>
            <w:tcW w:type="dxa" w:w="147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转角上限 deg</w:t>
            </w:r>
          </w:p>
        </w:tc>
        <w:tc>
          <w:tcPr>
            <w:tcW w:type="dxa" w:w="1417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平均误差 m</w:t>
            </w:r>
          </w:p>
        </w:tc>
        <w:tc>
          <w:tcPr>
            <w:tcW w:type="dxa" w:w="1417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最大误差 m</w:t>
            </w:r>
          </w:p>
        </w:tc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实际最大转角 rad</w:t>
            </w:r>
          </w:p>
        </w:tc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平均 |dδ/dt|</w:t>
            </w:r>
          </w:p>
        </w:tc>
      </w:tr>
      <w:tr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PP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0.314</w:t>
            </w:r>
          </w:p>
        </w:tc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0.945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0.335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0.157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PP</w:t>
            </w:r>
          </w:p>
        </w:tc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0.314</w:t>
            </w:r>
          </w:p>
        </w:tc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0.945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0.335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0.157</w:t>
            </w:r>
          </w:p>
        </w:tc>
      </w:tr>
      <w:tr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运动学 LQR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0.190</w:t>
            </w:r>
          </w:p>
        </w:tc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0.658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0.611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4.366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运动学 LQR</w:t>
            </w:r>
          </w:p>
        </w:tc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0.183</w:t>
            </w:r>
          </w:p>
        </w:tc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0.510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0.436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3.020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当最大转角由 35 deg 降至 25 deg 时，PP 在该中速双移线工况的需求转角未触及新上限，因此指标几乎不变。运动学 LQR 的最大转角由 0.611 rad 降至 0.436 rad，平均转角变化率由 4.366 降至 3.020 rad/s，同时平均与最大横向误差略有下降。本组结果表明，该路线下原始 LQR 的 35 deg 饱和会引入控制突变；适度约束可改善其动态行为。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6 任务二 圆形路径速度验证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速度档</w:t>
            </w:r>
          </w:p>
        </w:tc>
        <w:tc>
          <w:tcPr>
            <w:tcW w:type="dxa" w:w="113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v m/s</w:t>
            </w:r>
          </w:p>
        </w:tc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理论 δf rad</w:t>
            </w:r>
          </w:p>
        </w:tc>
        <w:tc>
          <w:tcPr>
            <w:tcW w:type="dxa" w:w="2268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理论 ψ_dot rad/s</w:t>
            </w:r>
          </w:p>
        </w:tc>
        <w:tc>
          <w:tcPr>
            <w:tcW w:type="dxa" w:w="198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理论 an m/s²</w:t>
            </w:r>
          </w:p>
        </w:tc>
      </w:tr>
      <w:tr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低速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3.0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0.205</w:t>
            </w:r>
          </w:p>
        </w:tc>
        <w:tc>
          <w:tcPr>
            <w:tcW w:type="dxa" w:w="2268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0.250</w:t>
            </w:r>
          </w:p>
        </w:tc>
        <w:tc>
          <w:tcPr>
            <w:tcW w:type="dxa" w:w="198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0.750</w:t>
            </w:r>
          </w:p>
        </w:tc>
      </w:tr>
      <w:tr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中速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5.0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0.205</w:t>
            </w:r>
          </w:p>
        </w:tc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0.417</w:t>
            </w:r>
          </w:p>
        </w:tc>
        <w:tc>
          <w:tcPr>
            <w:tcW w:type="dxa" w:w="198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2.083</w:t>
            </w:r>
          </w:p>
        </w:tc>
      </w:tr>
      <w:tr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高速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7.0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0.205</w:t>
            </w:r>
          </w:p>
        </w:tc>
        <w:tc>
          <w:tcPr>
            <w:tcW w:type="dxa" w:w="2268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0.583</w:t>
            </w:r>
          </w:p>
        </w:tc>
        <w:tc>
          <w:tcPr>
            <w:tcW w:type="dxa" w:w="198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4.083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blHeader w:val="true"/>
        </w:trPr>
        <w:tc>
          <w:tcPr>
            <w:tcW w:type="dxa" w:w="1417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算法</w:t>
            </w:r>
          </w:p>
        </w:tc>
        <w:tc>
          <w:tcPr>
            <w:tcW w:type="dxa" w:w="96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速度</w:t>
            </w:r>
          </w:p>
        </w:tc>
        <w:tc>
          <w:tcPr>
            <w:tcW w:type="dxa" w:w="567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到达</w:t>
            </w:r>
          </w:p>
        </w:tc>
        <w:tc>
          <w:tcPr>
            <w:tcW w:type="dxa" w:w="113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平均误差</w:t>
            </w:r>
          </w:p>
        </w:tc>
        <w:tc>
          <w:tcPr>
            <w:tcW w:type="dxa" w:w="113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最大误差</w:t>
            </w:r>
          </w:p>
        </w:tc>
        <w:tc>
          <w:tcPr>
            <w:tcW w:type="dxa" w:w="119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稳态转角</w:t>
            </w:r>
          </w:p>
        </w:tc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稳态横摆角速度</w:t>
            </w:r>
          </w:p>
        </w:tc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3"/>
              </w:rPr>
              <w:t>稳态法向加速度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PP</w:t>
            </w:r>
          </w:p>
        </w:tc>
        <w:tc>
          <w:tcPr>
            <w:tcW w:type="dxa" w:w="96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低速</w:t>
            </w:r>
          </w:p>
        </w:tc>
        <w:tc>
          <w:tcPr>
            <w:tcW w:type="dxa" w:w="56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0.286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0.446</w:t>
            </w:r>
          </w:p>
        </w:tc>
        <w:tc>
          <w:tcPr>
            <w:tcW w:type="dxa" w:w="119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0.214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0.259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0.750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PP</w:t>
            </w:r>
          </w:p>
        </w:tc>
        <w:tc>
          <w:tcPr>
            <w:tcW w:type="dxa" w:w="9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中速</w:t>
            </w:r>
          </w:p>
        </w:tc>
        <w:tc>
          <w:tcPr>
            <w:tcW w:type="dxa" w:w="56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0.288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0.505</w:t>
            </w:r>
          </w:p>
        </w:tc>
        <w:tc>
          <w:tcPr>
            <w:tcW w:type="dxa" w:w="11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0.215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0.416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1.923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PP</w:t>
            </w:r>
          </w:p>
        </w:tc>
        <w:tc>
          <w:tcPr>
            <w:tcW w:type="dxa" w:w="96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高速</w:t>
            </w:r>
          </w:p>
        </w:tc>
        <w:tc>
          <w:tcPr>
            <w:tcW w:type="dxa" w:w="56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0.275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0.525</w:t>
            </w:r>
          </w:p>
        </w:tc>
        <w:tc>
          <w:tcPr>
            <w:tcW w:type="dxa" w:w="119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0.215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0.527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3.169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运动学 LQR</w:t>
            </w:r>
          </w:p>
        </w:tc>
        <w:tc>
          <w:tcPr>
            <w:tcW w:type="dxa" w:w="9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低速</w:t>
            </w:r>
          </w:p>
        </w:tc>
        <w:tc>
          <w:tcPr>
            <w:tcW w:type="dxa" w:w="56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0.219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0.342</w:t>
            </w:r>
          </w:p>
        </w:tc>
        <w:tc>
          <w:tcPr>
            <w:tcW w:type="dxa" w:w="11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0.211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0.256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0.750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运动学 LQR</w:t>
            </w:r>
          </w:p>
        </w:tc>
        <w:tc>
          <w:tcPr>
            <w:tcW w:type="dxa" w:w="96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中速</w:t>
            </w:r>
          </w:p>
        </w:tc>
        <w:tc>
          <w:tcPr>
            <w:tcW w:type="dxa" w:w="56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0.239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0.413</w:t>
            </w:r>
          </w:p>
        </w:tc>
        <w:tc>
          <w:tcPr>
            <w:tcW w:type="dxa" w:w="119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0.211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0.409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1.918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运动学 LQR</w:t>
            </w:r>
          </w:p>
        </w:tc>
        <w:tc>
          <w:tcPr>
            <w:tcW w:type="dxa" w:w="9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高速</w:t>
            </w:r>
          </w:p>
        </w:tc>
        <w:tc>
          <w:tcPr>
            <w:tcW w:type="dxa" w:w="56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0.190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0.476</w:t>
            </w:r>
          </w:p>
        </w:tc>
        <w:tc>
          <w:tcPr>
            <w:tcW w:type="dxa" w:w="11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0.200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0.522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3.162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执行器感知 MPC</w:t>
            </w:r>
          </w:p>
        </w:tc>
        <w:tc>
          <w:tcPr>
            <w:tcW w:type="dxa" w:w="96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低速</w:t>
            </w:r>
          </w:p>
        </w:tc>
        <w:tc>
          <w:tcPr>
            <w:tcW w:type="dxa" w:w="56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0.147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0.231</w:t>
            </w:r>
          </w:p>
        </w:tc>
        <w:tc>
          <w:tcPr>
            <w:tcW w:type="dxa" w:w="119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0.210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0.256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0.759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执行器感知 MPC</w:t>
            </w:r>
          </w:p>
        </w:tc>
        <w:tc>
          <w:tcPr>
            <w:tcW w:type="dxa" w:w="9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中速</w:t>
            </w:r>
          </w:p>
        </w:tc>
        <w:tc>
          <w:tcPr>
            <w:tcW w:type="dxa" w:w="56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0.157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0.254</w:t>
            </w:r>
          </w:p>
        </w:tc>
        <w:tc>
          <w:tcPr>
            <w:tcW w:type="dxa" w:w="119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0.211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0.416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1.995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执行器感知 MPC</w:t>
            </w:r>
          </w:p>
        </w:tc>
        <w:tc>
          <w:tcPr>
            <w:tcW w:type="dxa" w:w="96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高速</w:t>
            </w:r>
          </w:p>
        </w:tc>
        <w:tc>
          <w:tcPr>
            <w:tcW w:type="dxa" w:w="56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0.166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0.349</w:t>
            </w:r>
          </w:p>
        </w:tc>
        <w:tc>
          <w:tcPr>
            <w:tcW w:type="dxa" w:w="119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0.212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0.595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3"/>
              </w:rPr>
              <w:t>4.014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验证结果：三种算法和三档速度均到达终点。稳态转角基本保持在 0.20 至 0.215 rad，与理论值 0.205 rad 接近，说明固定曲率下几何所需转角与速度近似无关。MPC 在中速时的稳态横摆角速度为 0.416 rad/s，与理论 0.417 rad/s 基本一致；高速时稳态法向加速度为 4.014 m/s²，接近理论 4.083 m/s²。法向加速度随速度平方增加：从 3 m/s 的约 0.75 m/s² 提升到 7 m/s 的约 4.0 m/s²。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高速下，运动学 LQR 最大转角达到 0.611 rad 并且平均转角变化率为 4.643 rad/s，明显高于 PP 和 MPC，反映出固定采样周期内修正时间缩短、转向饱和和相位滞后的共同影响。MPC 利用预测与约束，在三种速度下的平均横向误差均最低或接近最低。</w:t>
      </w: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7 创新设计 执行器感知 MPC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标准线性 MPC 通常约束预测时域中相邻控制量的变化，但首个即将执行的控制量可能与上一帧实际转角不连续。本组对 QP 首步控制量加入如下执行器连续性约束，并在求解后将第一步动作投影到同一边界：</w:t>
      </w:r>
    </w:p>
    <w:p>
      <w:pPr>
        <w:spacing w:after="80" w:line="276" w:lineRule="auto"/>
        <w:jc w:val="center"/>
      </w:pPr>
      <m:oMathPara>
        <m:oMath>
          <m:r>
            <m:rPr>
              <m:scr m:val="Cambria Math"/>
            </m:rPr>
            <m:t>|</m:t>
          </m:r>
          <m:sSub>
            <m:e>
              <m:r>
                <m:rPr>
                  <m:scr m:val="Cambria Math"/>
                </m:rPr>
                <m:t>δ</m:t>
              </m:r>
            </m:e>
            <m:sub>
              <m:r>
                <m:rPr>
                  <m:scr m:val="Cambria Math"/>
                </m:rPr>
                <m:t>0</m:t>
              </m:r>
            </m:sub>
          </m:sSub>
          <m:r>
            <m:rPr>
              <m:scr m:val="Cambria Math"/>
            </m:rPr>
            <m:t> − </m:t>
          </m:r>
          <m:sSub>
            <m:e>
              <m:r>
                <m:rPr>
                  <m:scr m:val="Cambria Math"/>
                </m:rPr>
                <m:t>δ</m:t>
              </m:r>
            </m:e>
            <m:sub>
              <m:r>
                <m:rPr>
                  <m:scr m:val="Cambria Math"/>
                </m:rPr>
                <m:t>previous</m:t>
              </m:r>
            </m:sub>
          </m:sSub>
          <m:r>
            <m:rPr>
              <m:scr m:val="Cambria Math"/>
            </m:rPr>
            <m:t>| ≤ </m:t>
          </m:r>
          <m:sSub>
            <m:e>
              <m:r>
                <m:rPr>
                  <m:scr m:val="Cambria Math"/>
                </m:rPr>
                <m:t>δ̇</m:t>
              </m:r>
            </m:e>
            <m:sub>
              <m:r>
                <m:rPr>
                  <m:scr m:val="Cambria Math"/>
                </m:rPr>
                <m:t>max</m:t>
              </m:r>
            </m:sub>
          </m:sSub>
          <m:r>
            <m:rPr>
              <m:scr m:val="Cambria Math"/>
            </m:rPr>
            <m:t> Δt</m:t>
          </m:r>
        </m:oMath>
      </m:oMathPara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该约束直接对应转向执行器的连续性要求。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blHeader w:val="true"/>
        </w:trPr>
        <w:tc>
          <w:tcPr>
            <w:tcW w:type="dxa" w:w="204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方案</w:t>
            </w:r>
          </w:p>
        </w:tc>
        <w:tc>
          <w:tcPr>
            <w:tcW w:type="dxa" w:w="113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速度</w:t>
            </w:r>
          </w:p>
        </w:tc>
        <w:tc>
          <w:tcPr>
            <w:tcW w:type="dxa" w:w="130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平均误差 m</w:t>
            </w:r>
          </w:p>
        </w:tc>
        <w:tc>
          <w:tcPr>
            <w:tcW w:type="dxa" w:w="130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最大误差 m</w:t>
            </w:r>
          </w:p>
        </w:tc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平均 |dδ/dt|</w:t>
            </w:r>
          </w:p>
        </w:tc>
        <w:tc>
          <w:tcPr>
            <w:tcW w:type="dxa" w:w="1701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最大 |dδ/dt|</w:t>
            </w:r>
          </w:p>
        </w:tc>
      </w:tr>
      <w:tr>
        <w:tc>
          <w:tcPr>
            <w:tcW w:type="dxa" w:w="204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基准 MPC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低速</w:t>
            </w:r>
          </w:p>
        </w:tc>
        <w:tc>
          <w:tcPr>
            <w:tcW w:type="dxa" w:w="130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0.144</w:t>
            </w:r>
          </w:p>
        </w:tc>
        <w:tc>
          <w:tcPr>
            <w:tcW w:type="dxa" w:w="130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0.226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0.509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1.089</w:t>
            </w:r>
          </w:p>
        </w:tc>
      </w:tr>
      <w:tr>
        <w:tc>
          <w:tcPr>
            <w:tcW w:type="dxa" w:w="204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基准 MPC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中速</w:t>
            </w:r>
          </w:p>
        </w:tc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0.157</w:t>
            </w:r>
          </w:p>
        </w:tc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0.254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0.018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0.263</w:t>
            </w:r>
          </w:p>
        </w:tc>
      </w:tr>
      <w:tr>
        <w:tc>
          <w:tcPr>
            <w:tcW w:type="dxa" w:w="204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基准 MPC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高速</w:t>
            </w:r>
          </w:p>
        </w:tc>
        <w:tc>
          <w:tcPr>
            <w:tcW w:type="dxa" w:w="130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0.168</w:t>
            </w:r>
          </w:p>
        </w:tc>
        <w:tc>
          <w:tcPr>
            <w:tcW w:type="dxa" w:w="130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0.348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0.665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1.735</w:t>
            </w:r>
          </w:p>
        </w:tc>
      </w:tr>
      <w:tr>
        <w:tc>
          <w:tcPr>
            <w:tcW w:type="dxa" w:w="204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执行器感知 MPC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低速</w:t>
            </w:r>
          </w:p>
        </w:tc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0.147</w:t>
            </w:r>
          </w:p>
        </w:tc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0.231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0.407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0.785</w:t>
            </w:r>
          </w:p>
        </w:tc>
      </w:tr>
      <w:tr>
        <w:tc>
          <w:tcPr>
            <w:tcW w:type="dxa" w:w="204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执行器感知 MPC</w:t>
            </w:r>
          </w:p>
        </w:tc>
        <w:tc>
          <w:tcPr>
            <w:tcW w:type="dxa" w:w="113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中速</w:t>
            </w:r>
          </w:p>
        </w:tc>
        <w:tc>
          <w:tcPr>
            <w:tcW w:type="dxa" w:w="130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0.157</w:t>
            </w:r>
          </w:p>
        </w:tc>
        <w:tc>
          <w:tcPr>
            <w:tcW w:type="dxa" w:w="130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0.254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0.018</w:t>
            </w:r>
          </w:p>
        </w:tc>
        <w:tc>
          <w:tcPr>
            <w:tcW w:type="dxa" w:w="1701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0.263</w:t>
            </w:r>
          </w:p>
        </w:tc>
      </w:tr>
      <w:tr>
        <w:tc>
          <w:tcPr>
            <w:tcW w:type="dxa" w:w="204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执行器感知 MPC</w:t>
            </w:r>
          </w:p>
        </w:tc>
        <w:tc>
          <w:tcPr>
            <w:tcW w:type="dxa" w:w="113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高速</w:t>
            </w:r>
          </w:p>
        </w:tc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0.166</w:t>
            </w:r>
          </w:p>
        </w:tc>
        <w:tc>
          <w:tcPr>
            <w:tcW w:type="dxa" w:w="130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0.349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0.357</w:t>
            </w:r>
          </w:p>
        </w:tc>
        <w:tc>
          <w:tcPr>
            <w:tcW w:type="dxa" w:w="1701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0.785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33983"/>
            <wp:docPr id="3" name="Picture 3" descr="图 3 高速圆形路径下的轨迹与控制时序对比" title="图 3 高速圆形路径下的轨迹与控制时序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c_rate_limit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33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YaHei"/>
          <w:b w:val="0"/>
          <w:color w:val="555555"/>
          <w:sz w:val="17"/>
        </w:rPr>
        <w:t>图 3 高速圆形路径下的轨迹与控制时序对比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79602"/>
            <wp:docPr id="4" name="Picture 4" descr="图 4 精度与平滑性权衡的多视图比较" title="图 4 精度与平滑性权衡的多视图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c_rate_limit_tradeof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79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Microsoft YaHei"/>
          <w:b w:val="0"/>
          <w:color w:val="555555"/>
          <w:sz w:val="17"/>
        </w:rPr>
        <w:t>图 4 精度与平滑性权衡的多视图比较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高速工况中，执行器感知 MPC 的平均绝对转角变化率由 0.665 降至 0.357 rad/s，下降 46.2%；最大变化率由 1.735 降至 0.785 rad/s，下降 54.7%。平均横向误差由 0.168 m 降至 0.166 m，最大横向误差仅从 0.348 m 变化到 0.349 m。结果说明所加约束抑制了转向突变，并未显著牺牲跟踪精度。</w:t>
      </w: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8 任务三 匿名 GPX 路线方法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为保护起终点隐私，本节采用仓库提供的匿名 GPX 作业路线 data/gpx/homework_route_1.gpx 说明实际道路处理流程。路线以 1.0 m 重采样后包含 3916 个参考点，里程约 3914.0 m。离线 GeoJSON 地图与路线共用局部坐标原点 (118.8145, 31.8885)，局部坐标 x 向东、y 向北。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分析步骤为：先使用 PP 检查 GPX 与底图叠加；随后以相同速度运行 PP、运动学 LQR 和 MPC；从 trajectory.csv 中以绝对横向误差定位峰值，再从 reference_path.csv 查找对应经纬度、曲率和路线里程。若 reached_goal 为 false，则不得将仿真终止时刻视作真实到达用时。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 w:val="true"/>
        </w:trPr>
        <w:tc>
          <w:tcPr>
            <w:tcW w:type="dxa" w:w="1417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算法</w:t>
            </w:r>
          </w:p>
        </w:tc>
        <w:tc>
          <w:tcPr>
            <w:tcW w:type="dxa" w:w="680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到达</w:t>
            </w:r>
          </w:p>
        </w:tc>
        <w:tc>
          <w:tcPr>
            <w:tcW w:type="dxa" w:w="1474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路线长度 m</w:t>
            </w:r>
          </w:p>
        </w:tc>
        <w:tc>
          <w:tcPr>
            <w:tcW w:type="dxa" w:w="1247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用时 s</w:t>
            </w:r>
          </w:p>
        </w:tc>
        <w:tc>
          <w:tcPr>
            <w:tcW w:type="dxa" w:w="1417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平均误差 m</w:t>
            </w:r>
          </w:p>
        </w:tc>
        <w:tc>
          <w:tcPr>
            <w:tcW w:type="dxa" w:w="1417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最大误差 m</w:t>
            </w:r>
          </w:p>
        </w:tc>
        <w:tc>
          <w:tcPr>
            <w:tcW w:type="dxa" w:w="1587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最大偏差时刻 s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PP</w:t>
            </w:r>
          </w:p>
        </w:tc>
        <w:tc>
          <w:tcPr>
            <w:tcW w:type="dxa" w:w="680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3914.0</w:t>
            </w:r>
          </w:p>
        </w:tc>
        <w:tc>
          <w:tcPr>
            <w:tcW w:type="dxa" w:w="124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491.6</w:t>
            </w:r>
          </w:p>
        </w:tc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0.027</w:t>
            </w:r>
          </w:p>
        </w:tc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1.926</w:t>
            </w:r>
          </w:p>
        </w:tc>
        <w:tc>
          <w:tcPr>
            <w:tcW w:type="dxa" w:w="158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156.9</w:t>
            </w:r>
          </w:p>
        </w:tc>
      </w:tr>
      <w:tr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运动学 LQR</w:t>
            </w:r>
          </w:p>
        </w:tc>
        <w:tc>
          <w:tcPr>
            <w:tcW w:type="dxa" w:w="68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47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3914.0</w:t>
            </w:r>
          </w:p>
        </w:tc>
        <w:tc>
          <w:tcPr>
            <w:tcW w:type="dxa" w:w="124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507.9</w:t>
            </w:r>
          </w:p>
        </w:tc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0.457</w:t>
            </w:r>
          </w:p>
        </w:tc>
        <w:tc>
          <w:tcPr>
            <w:tcW w:type="dxa" w:w="141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2.725</w:t>
            </w:r>
          </w:p>
        </w:tc>
        <w:tc>
          <w:tcPr>
            <w:tcW w:type="dxa" w:w="1587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162.5</w:t>
            </w:r>
          </w:p>
        </w:tc>
      </w:tr>
      <w:tr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执行器感知 MPC</w:t>
            </w:r>
          </w:p>
        </w:tc>
        <w:tc>
          <w:tcPr>
            <w:tcW w:type="dxa" w:w="680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是</w:t>
            </w:r>
          </w:p>
        </w:tc>
        <w:tc>
          <w:tcPr>
            <w:tcW w:type="dxa" w:w="1474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3914.0</w:t>
            </w:r>
          </w:p>
        </w:tc>
        <w:tc>
          <w:tcPr>
            <w:tcW w:type="dxa" w:w="124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484.7</w:t>
            </w:r>
          </w:p>
        </w:tc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0.063</w:t>
            </w:r>
          </w:p>
        </w:tc>
        <w:tc>
          <w:tcPr>
            <w:tcW w:type="dxa" w:w="141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2.544</w:t>
            </w:r>
          </w:p>
        </w:tc>
        <w:tc>
          <w:tcPr>
            <w:tcW w:type="dxa" w:w="1587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5.2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最大偏差位置与控制量可由同一输出目录中的 reference_path.csv 和 trajectory.csv 复核。由于 GPX 原始轨迹存在较长点间距，报告对实际道路几何的解释应以重采样后的折线近似为限，不能将其等同于完整道路中心线。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2268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需报告项目</w:t>
            </w:r>
          </w:p>
        </w:tc>
        <w:tc>
          <w:tcPr>
            <w:tcW w:type="dxa" w:w="6746"/>
            <w:shd w:fill="4F68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计算方法</w:t>
            </w:r>
          </w:p>
        </w:tc>
      </w:tr>
      <w:tr>
        <w:tc>
          <w:tcPr>
            <w:tcW w:type="dxa" w:w="2268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路线长度与用时</w:t>
            </w:r>
          </w:p>
        </w:tc>
        <w:tc>
          <w:tcPr>
            <w:tcW w:type="dxa" w:w="6746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reference_path.csv 最后一个 s_m；仅 reached_goal=true 时报告 duration_s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最大偏差位置</w:t>
            </w:r>
          </w:p>
        </w:tc>
        <w:tc>
          <w:tcPr>
            <w:tcW w:type="dxa" w:w="674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argmax(abs(lateral_error))；记录车辆局部坐标、目标点经纬度、曲率和转角</w:t>
            </w:r>
          </w:p>
        </w:tc>
      </w:tr>
      <w:tr>
        <w:tc>
          <w:tcPr>
            <w:tcW w:type="dxa" w:w="2268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原因判断</w:t>
            </w:r>
          </w:p>
        </w:tc>
        <w:tc>
          <w:tcPr>
            <w:tcW w:type="dxa" w:w="6746"/>
            <w:shd w:fill="E9F0E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区分急弯、连续弯、起终点；检查曲率变化、速度、转角饱和与控制延迟</w:t>
            </w:r>
          </w:p>
        </w:tc>
      </w:tr>
      <w:tr>
        <w:tc>
          <w:tcPr>
            <w:tcW w:type="dxa" w:w="2268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现实边界</w:t>
            </w:r>
          </w:p>
        </w:tc>
        <w:tc>
          <w:tcPr>
            <w:tcW w:type="dxa" w:w="674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道路底图不等价于交通仿真，未建模信号、行人、路权和真实限速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9 结论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第一，PP 结构简单，但在曲率突变和连续弯中更容易产生较大瞬态误差。第二，运动学 LQR 可降低平均误差，但高速度或激烈路径下可能出现转角饱和和更高的控制变化率。第三，MPC 在多路线和圆形速度实验中表现出较好的误差与平滑性折中。第四，执行器感知首步转角约束在高速圆形路径中显著降低控制突变，为控制算法从理想输入走向可执行输入提供了直接改进。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本报告的数值结论来自确定性仿真，不应解释为统计显著性；实际道路通勤时间还受到交通规则、其他道路参与者、限速和路径规划质量影响。</w:t>
      </w:r>
    </w:p>
    <w:p>
      <w:pPr>
        <w:pStyle w:val="Heading1"/>
        <w:spacing w:before="240" w:after="120"/>
      </w:pPr>
      <w:r>
        <w:rPr>
          <w:rFonts w:ascii="Arial" w:hAnsi="Arial" w:eastAsia="Microsoft YaHei"/>
          <w:b/>
          <w:color w:val="000000"/>
          <w:sz w:val="28"/>
        </w:rPr>
        <w:t>参考资料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[1] VehicleDynamicsMobility_01_BicycleModel.pdf，课程讲义。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[2] vdm_lab/tasks/README.md，课程任务书。</w:t>
      </w:r>
    </w:p>
    <w:p>
      <w:pPr>
        <w:spacing w:after="120" w:line="324" w:lineRule="auto"/>
      </w:pPr>
      <w:r>
        <w:rPr>
          <w:rFonts w:ascii="Arial" w:hAnsi="Arial" w:eastAsia="Microsoft YaHei"/>
          <w:b w:val="0"/>
          <w:color w:val="000000"/>
          <w:sz w:val="21"/>
        </w:rPr>
        <w:t>[3] 项目仿真日志与本报告生成的 comparison_metrics.csv、report_data.json。</w:t>
      </w:r>
    </w:p>
    <w:sectPr w:rsidR="00FC693F" w:rsidRPr="0006063C" w:rsidSect="00034616">
      <w:footerReference w:type="default" r:id="rId9"/>
      <w:pgSz w:w="12240" w:h="15840"/>
      <w:pgMar w:top="1247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555555"/>
        <w:sz w:val="16"/>
      </w:rPr>
      <w:t xml:space="preserve">NullPointer 车辆路径跟踪控制实验报告  第 </w:t>
    </w:r>
    <w:r>
      <w:fldChar w:fldCharType="begin"/>
      <w:instrText xml:space="preserve">PAGE</w:instrText>
      <w:fldChar w:fldCharType="end"/>
    </w:r>
    <w:r>
      <w:rPr>
        <w:rFonts w:ascii="Arial" w:hAnsi="Arial" w:eastAsia="Microsoft YaHei"/>
        <w:b w:val="0"/>
        <w:color w:val="555555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车辆路径跟踪控制实验报告</dc:title>
  <dc:subject>VDM Path Tracking Lab</dc:subject>
  <dc:creator>NullPointer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