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200"/>
        <w:jc w:val="center"/>
      </w:pPr>
      <w:r>
        <w:rPr>
          <w:rFonts w:ascii="Times New Roman" w:cs="Times New Roman" w:eastAsia="Times New Roman" w:hAnsi="Times New Roman"/>
          <w:b/>
          <w:bCs/>
          <w:sz w:val="32"/>
          <w:szCs w:val="32"/>
        </w:rPr>
        <w:t xml:space="preserve">EmpowerLens: Cognitive Distortion Detection in Entrepreneurial Self-Reflection</w:t>
      </w:r>
    </w:p>
    <w:p>
      <w:pPr>
        <w:spacing w:after="900"/>
        <w:jc w:val="center"/>
      </w:pPr>
      <w:r>
        <w:rPr>
          <w:rFonts w:ascii="Times New Roman" w:cs="Times New Roman" w:eastAsia="Times New Roman" w:hAnsi="Times New Roman"/>
          <w:sz w:val="28"/>
          <w:szCs w:val="28"/>
        </w:rPr>
        <w:t xml:space="preserve">Project Proposal</w:t>
      </w:r>
    </w:p>
    <w:p>
      <w:pPr>
        <w:spacing w:after="100"/>
        <w:jc w:val="center"/>
      </w:pPr>
      <w:r>
        <w:rPr>
          <w:rFonts w:ascii="Times New Roman" w:cs="Times New Roman" w:eastAsia="Times New Roman" w:hAnsi="Times New Roman"/>
          <w:b/>
          <w:bCs/>
          <w:sz w:val="24"/>
          <w:szCs w:val="24"/>
        </w:rPr>
        <w:t xml:space="preserve">Project Advisor:</w:t>
      </w:r>
    </w:p>
    <w:p>
      <w:pPr>
        <w:spacing w:after="600"/>
        <w:jc w:val="center"/>
      </w:pPr>
      <w:r>
        <w:rPr>
          <w:rFonts w:ascii="Times New Roman" w:cs="Times New Roman" w:eastAsia="Times New Roman" w:hAnsi="Times New Roman"/>
          <w:sz w:val="24"/>
          <w:szCs w:val="24"/>
        </w:rPr>
        <w:t xml:space="preserve">[Advisor Name]</w:t>
      </w:r>
    </w:p>
    <w:p>
      <w:pPr>
        <w:spacing w:after="100"/>
        <w:jc w:val="center"/>
      </w:pPr>
      <w:r>
        <w:rPr>
          <w:rFonts w:ascii="Times New Roman" w:cs="Times New Roman" w:eastAsia="Times New Roman" w:hAnsi="Times New Roman"/>
          <w:b/>
          <w:bCs/>
          <w:sz w:val="24"/>
          <w:szCs w:val="24"/>
        </w:rPr>
        <w:t xml:space="preserve">Group Members:</w:t>
      </w:r>
    </w:p>
    <w:p>
      <w:pPr>
        <w:spacing w:after="60"/>
        <w:jc w:val="center"/>
      </w:pPr>
      <w:r>
        <w:rPr>
          <w:rFonts w:ascii="Times New Roman" w:cs="Times New Roman" w:eastAsia="Times New Roman" w:hAnsi="Times New Roman"/>
          <w:sz w:val="24"/>
          <w:szCs w:val="24"/>
        </w:rPr>
        <w:t xml:space="preserve">[Member Name]  [00L-0000]</w:t>
      </w:r>
    </w:p>
    <w:p>
      <w:pPr>
        <w:spacing w:after="60"/>
        <w:jc w:val="center"/>
      </w:pPr>
      <w:r>
        <w:rPr>
          <w:rFonts w:ascii="Times New Roman" w:cs="Times New Roman" w:eastAsia="Times New Roman" w:hAnsi="Times New Roman"/>
          <w:sz w:val="24"/>
          <w:szCs w:val="24"/>
        </w:rPr>
        <w:t xml:space="preserve">[Member Name]  [00L-0000]</w:t>
      </w:r>
    </w:p>
    <w:p>
      <w:pPr>
        <w:spacing w:after="60"/>
        <w:jc w:val="center"/>
      </w:pPr>
      <w:r>
        <w:rPr>
          <w:rFonts w:ascii="Times New Roman" w:cs="Times New Roman" w:eastAsia="Times New Roman" w:hAnsi="Times New Roman"/>
          <w:sz w:val="24"/>
          <w:szCs w:val="24"/>
        </w:rPr>
        <w:t xml:space="preserve">[Member Name]  [00L-0000]</w:t>
      </w:r>
    </w:p>
    <w:p>
      <w:pPr>
        <w:spacing w:after="0"/>
      </w:pPr>
    </w:p>
    <w:p>
      <w:pPr>
        <w:spacing w:after="0"/>
      </w:pPr>
    </w:p>
    <w:p>
      <w:pPr>
        <w:spacing w:after="0"/>
      </w:pPr>
    </w:p>
    <w:p>
      <w:pPr>
        <w:spacing w:after="0"/>
      </w:pPr>
    </w:p>
    <w:p>
      <w:pPr>
        <w:spacing w:after="0"/>
      </w:pPr>
    </w:p>
    <w:p>
      <w:pPr>
        <w:spacing w:after="0"/>
      </w:pPr>
    </w:p>
    <w:p>
      <w:pPr>
        <w:spacing w:after="60"/>
        <w:jc w:val="center"/>
      </w:pPr>
      <w:r>
        <w:rPr>
          <w:rFonts w:ascii="Times New Roman" w:cs="Times New Roman" w:eastAsia="Times New Roman" w:hAnsi="Times New Roman"/>
          <w:sz w:val="24"/>
          <w:szCs w:val="24"/>
        </w:rPr>
        <w:t xml:space="preserve">National University of Computer and Emerging Sciences</w:t>
      </w:r>
    </w:p>
    <w:p>
      <w:pPr>
        <w:spacing w:after="60"/>
        <w:jc w:val="center"/>
      </w:pPr>
      <w:r>
        <w:rPr>
          <w:rFonts w:ascii="Times New Roman" w:cs="Times New Roman" w:eastAsia="Times New Roman" w:hAnsi="Times New Roman"/>
          <w:sz w:val="24"/>
          <w:szCs w:val="24"/>
        </w:rPr>
        <w:t xml:space="preserve">Department of Computer Science</w:t>
      </w:r>
    </w:p>
    <w:p>
      <w:pPr>
        <w:spacing w:after="60"/>
        <w:jc w:val="center"/>
      </w:pPr>
      <w:r>
        <w:rPr>
          <w:rFonts w:ascii="Times New Roman" w:cs="Times New Roman" w:eastAsia="Times New Roman" w:hAnsi="Times New Roman"/>
          <w:sz w:val="24"/>
          <w:szCs w:val="24"/>
        </w:rPr>
        <w:t xml:space="preserve">[Campus], Pakistan</w:t>
      </w:r>
    </w:p>
    <w:p>
      <w:r>
        <w:br w:type="page"/>
      </w:r>
    </w:p>
    <w:p>
      <w:pPr>
        <w:pStyle w:val="Heading1"/>
        <w:spacing w:after="140" w:before="280"/>
      </w:pPr>
      <w:r>
        <w:rPr>
          <w:rFonts w:ascii="Times New Roman" w:cs="Times New Roman" w:eastAsia="Times New Roman" w:hAnsi="Times New Roman"/>
          <w:b/>
          <w:bCs/>
          <w:sz w:val="26"/>
          <w:szCs w:val="26"/>
        </w:rPr>
        <w:t xml:space="preserve">Abstract</w:t>
      </w:r>
    </w:p>
    <w:p>
      <w:pPr>
        <w:spacing w:after="160" w:line="300"/>
        <w:jc w:val="both"/>
      </w:pPr>
      <w:r>
        <w:rPr>
          <w:rFonts w:ascii="Times New Roman" w:cs="Times New Roman" w:eastAsia="Times New Roman" w:hAnsi="Times New Roman"/>
          <w:sz w:val="22"/>
          <w:szCs w:val="22"/>
        </w:rPr>
        <w:t xml:space="preserve">Cognitive distortions are systematic errors in reasoning — overgeneralising from a single setback, inferring what others are thinking, labelling oneself a failure — which cognitive behavioural therapy (CBT) identifies as drivers of persistent low mood. Detecting these patterns automatically in written text is an active problem in natural language processing, but the available work is almost entirely clinical: models are trained and evaluated on patient–therapist exchanges. Entrepreneurs work in a rejection-dense environment in which distorted self-appraisal is both common and consequential, and no dataset or model addresses this population. This project builds a cognitive distortion detection system for written self-reflections by women entrepreneurs in Pakistani incubators.</w:t>
      </w:r>
    </w:p>
    <w:p>
      <w:pPr>
        <w:spacing w:after="160" w:line="300"/>
        <w:jc w:val="both"/>
      </w:pPr>
      <w:r>
        <w:rPr>
          <w:rFonts w:ascii="Times New Roman" w:cs="Times New Roman" w:eastAsia="Times New Roman" w:hAnsi="Times New Roman"/>
          <w:sz w:val="22"/>
          <w:szCs w:val="22"/>
        </w:rPr>
        <w:t xml:space="preserve">Two problems in the existing literature shape the design. First, current models read an entire reflection, although the distorted reasoning typically occupies a single sentence; our preliminary experiments show that restricting the classifier to the annotator-marked sentence improves multi-label macro-F1 by 0.080, more than twice the 0.035 gained by replacing a bag-of-words model with a domain-pretrained transformer. Second, no existing system distinguishes a distorted thought from a justified one — a founder who reports that twelve investors declined and concludes the round is unlikely to close is being accurate rather than irrational, yet current models flag her. We therefore propose a joint model over a shared encoder with four outputs: binary detection, sentence-level localisation of the distorted region, ten-way multi-label typing, and an explicit warranted-concern class that suppresses flags when negativity is evidence-based. We will collect and annotate a purpose-built corpus of entrepreneurial reflections, and report specificity on a challenge set of negative-but-justified statements alongside conventional F1.</w:t>
      </w:r>
    </w:p>
    <w:p>
      <w:pPr>
        <w:pStyle w:val="Heading1"/>
        <w:spacing w:after="140" w:before="280"/>
      </w:pPr>
      <w:r>
        <w:rPr>
          <w:rFonts w:ascii="Times New Roman" w:cs="Times New Roman" w:eastAsia="Times New Roman" w:hAnsi="Times New Roman"/>
          <w:b/>
          <w:bCs/>
          <w:sz w:val="26"/>
          <w:szCs w:val="26"/>
        </w:rPr>
        <w:t xml:space="preserve">1.  Introduction</w:t>
      </w:r>
    </w:p>
    <w:p>
      <w:pPr>
        <w:spacing w:after="160" w:line="300"/>
        <w:jc w:val="both"/>
      </w:pPr>
      <w:r>
        <w:rPr>
          <w:rFonts w:ascii="Times New Roman" w:cs="Times New Roman" w:eastAsia="Times New Roman" w:hAnsi="Times New Roman"/>
          <w:sz w:val="22"/>
          <w:szCs w:val="22"/>
        </w:rPr>
        <w:t xml:space="preserve">Cognitive behavioural therapy identifies a set of recurring reasoning errors, termed cognitive distortions, that shape how a person interprets events [1], [2]. Ten categories are in common use: all-or-nothing thinking, overgeneralisation, mental filter, mind reading, fortune-telling, magnification, emotional reasoning, should statements, personalisation, and labelling. Each is defined by the form of the reasoning rather than its subject matter. For example:</w:t>
      </w:r>
    </w:p>
    <w:p>
      <w:pPr>
        <w:pStyle w:val="ListParagraph"/>
        <w:numPr>
          <w:ilvl w:val="0"/>
          <w:numId w:val="1"/>
        </w:numPr>
        <w:spacing w:after="100" w:line="300"/>
        <w:jc w:val="both"/>
      </w:pPr>
      <w:r>
        <w:rPr>
          <w:rFonts w:ascii="Times New Roman" w:cs="Times New Roman" w:eastAsia="Times New Roman" w:hAnsi="Times New Roman"/>
          <w:sz w:val="22"/>
          <w:szCs w:val="22"/>
        </w:rPr>
        <w:t xml:space="preserve">“I have never been able to hold a room and I never will.” — overgeneralisation from one event, combined with fortune-telling about the future.</w:t>
      </w:r>
    </w:p>
    <w:p>
      <w:pPr>
        <w:pStyle w:val="ListParagraph"/>
        <w:numPr>
          <w:ilvl w:val="0"/>
          <w:numId w:val="1"/>
        </w:numPr>
        <w:spacing w:after="100" w:line="300"/>
        <w:jc w:val="both"/>
      </w:pPr>
      <w:r>
        <w:rPr>
          <w:rFonts w:ascii="Times New Roman" w:cs="Times New Roman" w:eastAsia="Times New Roman" w:hAnsi="Times New Roman"/>
          <w:sz w:val="22"/>
          <w:szCs w:val="22"/>
        </w:rPr>
        <w:t xml:space="preserve">“The investor checked his phone; he thinks the idea is worthless.” — mind reading, an inference about another person’s thoughts presented as fact.</w:t>
      </w:r>
    </w:p>
    <w:p>
      <w:pPr>
        <w:pStyle w:val="ListParagraph"/>
        <w:numPr>
          <w:ilvl w:val="0"/>
          <w:numId w:val="1"/>
        </w:numPr>
        <w:spacing w:after="100" w:line="300"/>
        <w:jc w:val="both"/>
      </w:pPr>
      <w:r>
        <w:rPr>
          <w:rFonts w:ascii="Times New Roman" w:cs="Times New Roman" w:eastAsia="Times New Roman" w:hAnsi="Times New Roman"/>
          <w:sz w:val="22"/>
          <w:szCs w:val="22"/>
        </w:rPr>
        <w:t xml:space="preserve">“I am a failure.” — labelling, in which a single outcome becomes an identity.</w:t>
      </w:r>
    </w:p>
    <w:p>
      <w:pPr>
        <w:spacing w:after="160" w:line="300"/>
        <w:jc w:val="both"/>
      </w:pPr>
      <w:r>
        <w:rPr>
          <w:rFonts w:ascii="Times New Roman" w:cs="Times New Roman" w:eastAsia="Times New Roman" w:hAnsi="Times New Roman"/>
          <w:sz w:val="22"/>
          <w:szCs w:val="22"/>
        </w:rPr>
        <w:t xml:space="preserve">Automatic detection of these patterns has applications in digital mental health, guided self-reflection, and coaching. The task is usually posed as two questions about a piece of text: whether a distortion is present at all, and which of the ten types it is.</w:t>
      </w:r>
    </w:p>
    <w:p>
      <w:pPr>
        <w:spacing w:after="160" w:line="300"/>
        <w:jc w:val="both"/>
      </w:pPr>
      <w:r>
        <w:rPr>
          <w:rFonts w:ascii="Times New Roman" w:cs="Times New Roman" w:eastAsia="Times New Roman" w:hAnsi="Times New Roman"/>
          <w:sz w:val="22"/>
          <w:szCs w:val="22"/>
        </w:rPr>
        <w:t xml:space="preserve">Research in this area is recent. Shreevastava and Foltz [3] released the first English dataset drawn from patient–therapist interactions, comprising 2,530 annotated utterances, and reported approximately 0.79 F1 on the binary question but only around 0.30 on the fine-grained one. That gap is the central difficulty of the field: deciding whether distorted reasoning is present is tractable, while deciding which kind is not. Reported inter-annotator agreement on the type label is approximately one third, which places a ceiling on any supervised model trained against it. Subsequent work has extended the task to multi-label settings, to other languages, and to zero-shot prompting with large language models, but has remained within the clinical domain.</w:t>
      </w:r>
    </w:p>
    <w:p>
      <w:pPr>
        <w:spacing w:after="160" w:line="300"/>
        <w:jc w:val="both"/>
      </w:pPr>
      <w:r>
        <w:rPr>
          <w:rFonts w:ascii="Times New Roman" w:cs="Times New Roman" w:eastAsia="Times New Roman" w:hAnsi="Times New Roman"/>
          <w:b/>
          <w:bCs/>
          <w:sz w:val="22"/>
          <w:szCs w:val="22"/>
        </w:rPr>
        <w:t xml:space="preserve">Why entrepreneurs.</w:t>
      </w:r>
      <w:r>
        <w:rPr>
          <w:rFonts w:ascii="Times New Roman" w:cs="Times New Roman" w:eastAsia="Times New Roman" w:hAnsi="Times New Roman"/>
          <w:sz w:val="22"/>
          <w:szCs w:val="22"/>
        </w:rPr>
        <w:t xml:space="preserve"> Early-stage founders operate in an environment dense with rejection: investors decline, customers churn, co-founders leave, and launches fail. Interpreting these events is unavoidable and consequential — a founder who concludes from one rejection that she is fundamentally unsuited to the work may abandon a viable venture, while one who dismisses a consistent pattern of negative signals may persist with an unviable one. Incubators and accelerators run structured cohorts in which participants are routinely asked to reflect in writing, yet trainers have no systematic visibility into how those participants are interpreting their setbacks.</w:t>
      </w:r>
    </w:p>
    <w:p>
      <w:pPr>
        <w:spacing w:after="160" w:line="300"/>
        <w:jc w:val="both"/>
      </w:pPr>
      <w:r>
        <w:rPr>
          <w:rFonts w:ascii="Times New Roman" w:cs="Times New Roman" w:eastAsia="Times New Roman" w:hAnsi="Times New Roman"/>
          <w:b/>
          <w:bCs/>
          <w:sz w:val="22"/>
          <w:szCs w:val="22"/>
        </w:rPr>
        <w:t xml:space="preserve">Why this population.</w:t>
      </w:r>
      <w:r>
        <w:rPr>
          <w:rFonts w:ascii="Times New Roman" w:cs="Times New Roman" w:eastAsia="Times New Roman" w:hAnsi="Times New Roman"/>
          <w:sz w:val="22"/>
          <w:szCs w:val="22"/>
        </w:rPr>
        <w:t xml:space="preserve"> Women entrepreneurs in Pakistani incubation programmes — the National Incubation Centres, SMEDA, and Kamyab Jawan among them — are an underserved group in both the entrepreneurship and NLP literatures. Their written reflections also differ in register from clinical transcripts: shorter, less disclosive, and framed around business events rather than personal history. A model trained on clinical text should not be assumed to transfer, and measuring that gap is one of this project’s contributions.</w:t>
      </w:r>
    </w:p>
    <w:p>
      <w:pPr>
        <w:spacing w:after="160" w:line="300"/>
        <w:jc w:val="both"/>
      </w:pPr>
      <w:r>
        <w:rPr>
          <w:rFonts w:ascii="Times New Roman" w:cs="Times New Roman" w:eastAsia="Times New Roman" w:hAnsi="Times New Roman"/>
          <w:b/>
          <w:bCs/>
          <w:sz w:val="22"/>
          <w:szCs w:val="22"/>
        </w:rPr>
        <w:t xml:space="preserve">Two gaps this project addresses.</w:t>
      </w:r>
      <w:r>
        <w:rPr>
          <w:rFonts w:ascii="Times New Roman" w:cs="Times New Roman" w:eastAsia="Times New Roman" w:hAnsi="Times New Roman"/>
          <w:sz w:val="22"/>
          <w:szCs w:val="22"/>
        </w:rPr>
        <w:t xml:space="preserve"> The first is domain shift. Every available annotated resource is clinical, and no work quantifies how far performance falls when such a model is applied to entrepreneurial self-reflection.</w:t>
      </w:r>
    </w:p>
    <w:p>
      <w:pPr>
        <w:spacing w:after="160" w:line="300"/>
        <w:jc w:val="both"/>
      </w:pPr>
      <w:r>
        <w:rPr>
          <w:rFonts w:ascii="Times New Roman" w:cs="Times New Roman" w:eastAsia="Times New Roman" w:hAnsi="Times New Roman"/>
          <w:sz w:val="22"/>
          <w:szCs w:val="22"/>
        </w:rPr>
        <w:t xml:space="preserve">The second is specificity, and it is a safety problem rather than an accuracy one. Existing systems offer two verdicts: distorted, or not. They have no way to express a third and very common state — that a person is worried and has good reason to be. Consider “Twelve investors passed, so I do not expect this round to close.” The statement is negative, it predicts a poor outcome, and on surface features it resembles fortune-telling. It is also correct. A system that tells this founder her arithmetic is a cognitive distortion is worse than no system at all, because it undermines trust precisely when the user is reasoning well. We refer to this state as </w:t>
      </w:r>
      <w:r>
        <w:rPr>
          <w:rFonts w:ascii="Times New Roman" w:cs="Times New Roman" w:eastAsia="Times New Roman" w:hAnsi="Times New Roman"/>
          <w:b/>
          <w:bCs/>
          <w:sz w:val="22"/>
          <w:szCs w:val="22"/>
        </w:rPr>
        <w:t xml:space="preserve">warranted concern</w:t>
      </w:r>
      <w:r>
        <w:rPr>
          <w:rFonts w:ascii="Times New Roman" w:cs="Times New Roman" w:eastAsia="Times New Roman" w:hAnsi="Times New Roman"/>
          <w:sz w:val="22"/>
          <w:szCs w:val="22"/>
        </w:rPr>
        <w:t xml:space="preserve">, and model it explicitly.</w:t>
      </w:r>
    </w:p>
    <w:p>
      <w:pPr>
        <w:spacing w:after="160" w:line="300"/>
        <w:jc w:val="both"/>
      </w:pPr>
      <w:r>
        <w:rPr>
          <w:rFonts w:ascii="Times New Roman" w:cs="Times New Roman" w:eastAsia="Times New Roman" w:hAnsi="Times New Roman"/>
          <w:b/>
          <w:bCs/>
          <w:sz w:val="22"/>
          <w:szCs w:val="22"/>
        </w:rPr>
        <w:t xml:space="preserve">Framing.</w:t>
      </w:r>
      <w:r>
        <w:rPr>
          <w:rFonts w:ascii="Times New Roman" w:cs="Times New Roman" w:eastAsia="Times New Roman" w:hAnsi="Times New Roman"/>
          <w:sz w:val="22"/>
          <w:szCs w:val="22"/>
        </w:rPr>
        <w:t xml:space="preserve"> EmpowerLens is explicitly non-diagnostic. It is not a clinical instrument, not a mental-health screening tool, and not an evaluator of business viability. It reports patterns in language; it does not assess people.</w:t>
      </w:r>
    </w:p>
    <w:p>
      <w:pPr>
        <w:pStyle w:val="Heading1"/>
        <w:spacing w:after="140" w:before="280"/>
      </w:pPr>
      <w:r>
        <w:rPr>
          <w:rFonts w:ascii="Times New Roman" w:cs="Times New Roman" w:eastAsia="Times New Roman" w:hAnsi="Times New Roman"/>
          <w:b/>
          <w:bCs/>
          <w:sz w:val="26"/>
          <w:szCs w:val="26"/>
        </w:rPr>
        <w:t xml:space="preserve">2.  Goals and Objectives</w:t>
      </w:r>
    </w:p>
    <w:p>
      <w:pPr>
        <w:spacing w:after="160" w:line="300"/>
        <w:jc w:val="both"/>
      </w:pPr>
      <w:r>
        <w:rPr>
          <w:rFonts w:ascii="Times New Roman" w:cs="Times New Roman" w:eastAsia="Times New Roman" w:hAnsi="Times New Roman"/>
          <w:sz w:val="22"/>
          <w:szCs w:val="22"/>
        </w:rPr>
        <w:t xml:space="preserve">The goal of this project is to build and evaluate a cognitive distortion detection system for entrepreneurial self-reflection that locates the distorted text, separates distortion from warranted concern, and is assessed on specificity rather than accuracy alone. Our main objectives are:</w:t>
      </w:r>
    </w:p>
    <w:p>
      <w:pPr>
        <w:pStyle w:val="ListParagraph"/>
        <w:numPr>
          <w:ilvl w:val="0"/>
          <w:numId w:val="1"/>
        </w:numPr>
        <w:spacing w:after="100" w:line="300"/>
        <w:jc w:val="both"/>
      </w:pPr>
      <w:r>
        <w:rPr>
          <w:rFonts w:ascii="Times New Roman" w:cs="Times New Roman" w:eastAsia="Times New Roman" w:hAnsi="Times New Roman"/>
          <w:sz w:val="22"/>
          <w:szCs w:val="22"/>
        </w:rPr>
        <w:t xml:space="preserve">Constructing an annotated corpus of written self-reflections from women entrepreneurs in Pakistani incubators, labelled for cognitive distortion type and for warranted concern, with inter-annotator agreement reported.</w:t>
      </w:r>
    </w:p>
    <w:p>
      <w:pPr>
        <w:pStyle w:val="ListParagraph"/>
        <w:numPr>
          <w:ilvl w:val="0"/>
          <w:numId w:val="1"/>
        </w:numPr>
        <w:spacing w:after="100" w:line="300"/>
        <w:jc w:val="both"/>
      </w:pPr>
      <w:r>
        <w:rPr>
          <w:rFonts w:ascii="Times New Roman" w:cs="Times New Roman" w:eastAsia="Times New Roman" w:hAnsi="Times New Roman"/>
          <w:sz w:val="22"/>
          <w:szCs w:val="22"/>
        </w:rPr>
        <w:t xml:space="preserve">Quantifying the label noise in the existing benchmark by re-annotating a targeted subset with two independent annotators and reporting Cohen’s κ [4], [5].</w:t>
      </w:r>
    </w:p>
    <w:p>
      <w:pPr>
        <w:pStyle w:val="ListParagraph"/>
        <w:numPr>
          <w:ilvl w:val="0"/>
          <w:numId w:val="1"/>
        </w:numPr>
        <w:spacing w:after="100" w:line="300"/>
        <w:jc w:val="both"/>
      </w:pPr>
      <w:r>
        <w:rPr>
          <w:rFonts w:ascii="Times New Roman" w:cs="Times New Roman" w:eastAsia="Times New Roman" w:hAnsi="Times New Roman"/>
          <w:sz w:val="22"/>
          <w:szCs w:val="22"/>
        </w:rPr>
        <w:t xml:space="preserve">Designing and training a joint model on a shared transformer encoder with four outputs: binary detection, sentence-level selection of the distorted region, ten-way multi-label typing, and warranted concern.</w:t>
      </w:r>
    </w:p>
    <w:p>
      <w:pPr>
        <w:pStyle w:val="ListParagraph"/>
        <w:numPr>
          <w:ilvl w:val="0"/>
          <w:numId w:val="1"/>
        </w:numPr>
        <w:spacing w:after="100" w:line="300"/>
        <w:jc w:val="both"/>
      </w:pPr>
      <w:r>
        <w:rPr>
          <w:rFonts w:ascii="Times New Roman" w:cs="Times New Roman" w:eastAsia="Times New Roman" w:hAnsi="Times New Roman"/>
          <w:sz w:val="22"/>
          <w:szCs w:val="22"/>
        </w:rPr>
        <w:t xml:space="preserve">Constructing a challenge set of negative-but-justified statements and reporting the false-positive rate on it as a primary result.</w:t>
      </w:r>
    </w:p>
    <w:p>
      <w:pPr>
        <w:pStyle w:val="ListParagraph"/>
        <w:numPr>
          <w:ilvl w:val="0"/>
          <w:numId w:val="1"/>
        </w:numPr>
        <w:spacing w:after="100" w:line="300"/>
        <w:jc w:val="both"/>
      </w:pPr>
      <w:r>
        <w:rPr>
          <w:rFonts w:ascii="Times New Roman" w:cs="Times New Roman" w:eastAsia="Times New Roman" w:hAnsi="Times New Roman"/>
          <w:sz w:val="22"/>
          <w:szCs w:val="22"/>
        </w:rPr>
        <w:t xml:space="preserve">Measuring and reporting the performance difference between clinical and entrepreneurial text.</w:t>
      </w:r>
    </w:p>
    <w:p>
      <w:pPr>
        <w:pStyle w:val="Heading1"/>
        <w:spacing w:after="140" w:before="280"/>
      </w:pPr>
      <w:r>
        <w:rPr>
          <w:rFonts w:ascii="Times New Roman" w:cs="Times New Roman" w:eastAsia="Times New Roman" w:hAnsi="Times New Roman"/>
          <w:b/>
          <w:bCs/>
          <w:sz w:val="26"/>
          <w:szCs w:val="26"/>
        </w:rPr>
        <w:t xml:space="preserve">3.  Scope of the Project</w:t>
      </w:r>
    </w:p>
    <w:p>
      <w:pPr>
        <w:spacing w:after="160" w:line="300"/>
        <w:jc w:val="both"/>
      </w:pPr>
      <w:r>
        <w:rPr>
          <w:rFonts w:ascii="Times New Roman" w:cs="Times New Roman" w:eastAsia="Times New Roman" w:hAnsi="Times New Roman"/>
          <w:sz w:val="22"/>
          <w:szCs w:val="22"/>
        </w:rPr>
        <w:t xml:space="preserve">The project consists of three phases.</w:t>
      </w:r>
    </w:p>
    <w:p>
      <w:pPr>
        <w:spacing w:after="160" w:line="300"/>
        <w:jc w:val="both"/>
      </w:pPr>
      <w:r>
        <w:rPr>
          <w:rFonts w:ascii="Times New Roman" w:cs="Times New Roman" w:eastAsia="Times New Roman" w:hAnsi="Times New Roman"/>
          <w:b/>
          <w:bCs/>
          <w:sz w:val="22"/>
          <w:szCs w:val="22"/>
        </w:rPr>
        <w:t xml:space="preserve">Phase 1 — Data.</w:t>
      </w:r>
      <w:r>
        <w:rPr>
          <w:rFonts w:ascii="Times New Roman" w:cs="Times New Roman" w:eastAsia="Times New Roman" w:hAnsi="Times New Roman"/>
          <w:sz w:val="22"/>
          <w:szCs w:val="22"/>
        </w:rPr>
        <w:t xml:space="preserve"> We will collect written self-reflections from women entrepreneurs through a structured online form distributed via incubation programmes, asking participants to describe a recent setback and what was going through their mind at the time. Two annotators — one of them a psychology student — will independently label every response for distortion type and for warranted concern using a codebook written in advance, and agreement will be reported. In parallel, we will re-annotate a targeted subset of the existing benchmark, selected by identifying rows where a trained model confidently disagrees with the recorded label, together with a random control sample. We will additionally author a challenge set of statements that are negative but evidence-based.</w:t>
      </w:r>
    </w:p>
    <w:p>
      <w:pPr>
        <w:spacing w:after="160" w:line="300"/>
        <w:jc w:val="both"/>
      </w:pPr>
      <w:r>
        <w:rPr>
          <w:rFonts w:ascii="Times New Roman" w:cs="Times New Roman" w:eastAsia="Times New Roman" w:hAnsi="Times New Roman"/>
          <w:b/>
          <w:bCs/>
          <w:sz w:val="22"/>
          <w:szCs w:val="22"/>
        </w:rPr>
        <w:t xml:space="preserve">Phase 2 — Model.</w:t>
      </w:r>
      <w:r>
        <w:rPr>
          <w:rFonts w:ascii="Times New Roman" w:cs="Times New Roman" w:eastAsia="Times New Roman" w:hAnsi="Times New Roman"/>
          <w:sz w:val="22"/>
          <w:szCs w:val="22"/>
        </w:rPr>
        <w:t xml:space="preserve"> We will train a joint model on a shared transformer encoder. Sentence-level selection identifies the region carrying the distorted reasoning; the typing heads read a representation weighted toward that region rather than the whole document. A binary head decides whether any distortion is present, and a warranted-concern head can suppress the output when the negativity is justified. Single-head variants will be trained as ablations so that the contribution of each component is measurable.</w:t>
      </w:r>
    </w:p>
    <w:p>
      <w:pPr>
        <w:spacing w:after="160" w:line="300"/>
        <w:jc w:val="both"/>
      </w:pPr>
      <w:r>
        <w:rPr>
          <w:rFonts w:ascii="Times New Roman" w:cs="Times New Roman" w:eastAsia="Times New Roman" w:hAnsi="Times New Roman"/>
          <w:b/>
          <w:bCs/>
          <w:sz w:val="22"/>
          <w:szCs w:val="22"/>
        </w:rPr>
        <w:t xml:space="preserve">Phase 3 — Evaluation.</w:t>
      </w:r>
      <w:r>
        <w:rPr>
          <w:rFonts w:ascii="Times New Roman" w:cs="Times New Roman" w:eastAsia="Times New Roman" w:hAnsi="Times New Roman"/>
          <w:sz w:val="22"/>
          <w:szCs w:val="22"/>
        </w:rPr>
        <w:t xml:space="preserve"> Results will be reported on three test sets kept separate: the clinical benchmark, the collected entrepreneurial responses at their natural class distribution, and the challenge set. Specificity and false-positive rate on the challenge set are reported first, followed by binary F1, per-class multi-label F1 with support counts, and span selection quality.</w:t>
      </w:r>
    </w:p>
    <w:p>
      <w:pPr>
        <w:spacing w:after="160" w:line="300"/>
        <w:jc w:val="both"/>
      </w:pPr>
      <w:r>
        <w:rPr>
          <w:rFonts w:ascii="Times New Roman" w:cs="Times New Roman" w:eastAsia="Times New Roman" w:hAnsi="Times New Roman"/>
          <w:b/>
          <w:bCs/>
          <w:sz w:val="22"/>
          <w:szCs w:val="22"/>
        </w:rPr>
        <w:t xml:space="preserve">Out of scope.</w:t>
      </w:r>
      <w:r>
        <w:rPr>
          <w:rFonts w:ascii="Times New Roman" w:cs="Times New Roman" w:eastAsia="Times New Roman" w:hAnsi="Times New Roman"/>
          <w:sz w:val="22"/>
          <w:szCs w:val="22"/>
        </w:rPr>
        <w:t xml:space="preserve"> The following are explicitly excluded: Urdu-language processing, which is left to future work; automated reframing or advice generation, since the system reports patterns and does not counsel; and any form of clinical diagnosis or screening. The system is not an evaluator of business ideas and plays no gatekeeping role.</w:t>
      </w:r>
    </w:p>
    <w:p>
      <w:pPr>
        <w:spacing w:after="160" w:line="300"/>
        <w:jc w:val="both"/>
      </w:pPr>
      <w:r>
        <w:rPr>
          <w:rFonts w:ascii="Times New Roman" w:cs="Times New Roman" w:eastAsia="Times New Roman" w:hAnsi="Times New Roman"/>
          <w:b/>
          <w:bCs/>
          <w:sz w:val="22"/>
          <w:szCs w:val="22"/>
        </w:rPr>
        <w:t xml:space="preserve">Ethical considerations.</w:t>
      </w:r>
      <w:r>
        <w:rPr>
          <w:rFonts w:ascii="Times New Roman" w:cs="Times New Roman" w:eastAsia="Times New Roman" w:hAnsi="Times New Roman"/>
          <w:sz w:val="22"/>
          <w:szCs w:val="22"/>
        </w:rPr>
        <w:t xml:space="preserve"> Participation will be voluntary and informed. Collected responses will be used solely as evaluation data and will not be used as input to generative models. No personally identifying information will be collected or published.</w:t>
      </w:r>
    </w:p>
    <w:p>
      <w:pPr>
        <w:pStyle w:val="Heading1"/>
        <w:spacing w:after="140" w:before="280"/>
      </w:pPr>
      <w:r>
        <w:rPr>
          <w:rFonts w:ascii="Times New Roman" w:cs="Times New Roman" w:eastAsia="Times New Roman" w:hAnsi="Times New Roman"/>
          <w:b/>
          <w:bCs/>
          <w:sz w:val="26"/>
          <w:szCs w:val="26"/>
        </w:rPr>
        <w:t xml:space="preserve">4.  Initial Study and Work Done so Far</w:t>
      </w:r>
    </w:p>
    <w:p>
      <w:pPr>
        <w:spacing w:after="160" w:line="300"/>
        <w:jc w:val="both"/>
      </w:pPr>
      <w:r>
        <w:rPr>
          <w:rFonts w:ascii="Times New Roman" w:cs="Times New Roman" w:eastAsia="Times New Roman" w:hAnsi="Times New Roman"/>
          <w:sz w:val="22"/>
          <w:szCs w:val="22"/>
        </w:rPr>
        <w:t xml:space="preserve">Our literature review found that automatic cognitive distortion detection has been approached from four directions. Shreevastava and Foltz [3] established the benchmark task and dataset and applied classical classifiers over lexical and embedding features. Later work has framed the problem as multi-label rather than single-label, recognising that a single utterance frequently exhibits more than one distortion, and has extended the task to languages other than English. A separate line of work uses large language models with zero-shot prompting to extract the distorted text before classifying it, reporting that supplying the ground-truth distorted region substantially improves classification accuracy — an observation that motivates the present design, although that work does not train an extraction model. Maddela et al. [6] released a large crowdsourced corpus of unhelpful thought patterns and their reframings, which provides related but non-clinical training data. Domain-adapted encoders such as MentalBERT and MentalRoBERTa [7] have been proposed for mental-health text and serve as our backbone.</w:t>
      </w:r>
    </w:p>
    <w:p>
      <w:pPr>
        <w:spacing w:after="160" w:line="300"/>
        <w:jc w:val="both"/>
      </w:pPr>
      <w:r>
        <w:rPr>
          <w:rFonts w:ascii="Times New Roman" w:cs="Times New Roman" w:eastAsia="Times New Roman" w:hAnsi="Times New Roman"/>
          <w:sz w:val="22"/>
          <w:szCs w:val="22"/>
        </w:rPr>
        <w:t xml:space="preserve">For the architecture, we draw on rationale extraction [8], [9], in which a model identifies the supporting evidence for its own prediction and is trained end to end, and on intermediate-task transfer [10] for making use of related corpora. For identifying probable annotation errors efficiently, we follow confident learning [11]. Our review found no prior work that jointly localises the distorted text, assigns multiple labels, and models warranted concern; nor any work applying this task to entrepreneurial self-reflection.</w:t>
      </w:r>
    </w:p>
    <w:p>
      <w:pPr>
        <w:spacing w:after="160" w:line="300"/>
        <w:jc w:val="both"/>
      </w:pPr>
      <w:r>
        <w:rPr>
          <w:rFonts w:ascii="Times New Roman" w:cs="Times New Roman" w:eastAsia="Times New Roman" w:hAnsi="Times New Roman"/>
          <w:b/>
          <w:bCs/>
          <w:sz w:val="22"/>
          <w:szCs w:val="22"/>
        </w:rPr>
        <w:t xml:space="preserve">Work completed.</w:t>
      </w:r>
      <w:r>
        <w:rPr>
          <w:rFonts w:ascii="Times New Roman" w:cs="Times New Roman" w:eastAsia="Times New Roman" w:hAnsi="Times New Roman"/>
          <w:sz w:val="22"/>
          <w:szCs w:val="22"/>
        </w:rPr>
        <w:t xml:space="preserve"> We have reproduced the benchmark on a leakage-free pipeline with fixed splits and three random seeds, obtaining a binary positive-class F1 of 0.794 ± 0.012, consistent with the 0.79 reported by the original authors.</w:t>
      </w:r>
    </w:p>
    <w:p>
      <w:pPr>
        <w:spacing w:after="160" w:line="300"/>
        <w:jc w:val="both"/>
      </w:pPr>
      <w:r>
        <w:rPr>
          <w:rFonts w:ascii="Times New Roman" w:cs="Times New Roman" w:eastAsia="Times New Roman" w:hAnsi="Times New Roman"/>
          <w:sz w:val="22"/>
          <w:szCs w:val="22"/>
        </w:rPr>
        <w:t xml:space="preserve">We have also run a preliminary experiment that shapes the proposed architecture. On identical splits and metrics, restricting the classifier’s input to the annotator-marked distorted sentence raised multi-label macro-F1 from 0.322 to </w:t>
      </w:r>
      <w:r>
        <w:rPr>
          <w:rFonts w:ascii="Times New Roman" w:cs="Times New Roman" w:eastAsia="Times New Roman" w:hAnsi="Times New Roman"/>
          <w:b/>
          <w:bCs/>
          <w:sz w:val="22"/>
          <w:szCs w:val="22"/>
        </w:rPr>
        <w:t xml:space="preserve">0.402</w:t>
      </w:r>
      <w:r>
        <w:rPr>
          <w:rFonts w:ascii="Times New Roman" w:cs="Times New Roman" w:eastAsia="Times New Roman" w:hAnsi="Times New Roman"/>
          <w:sz w:val="22"/>
          <w:szCs w:val="22"/>
        </w:rPr>
        <w:t xml:space="preserve">, whereas keeping the full document and replacing the bag-of-words model with a domain-pretrained transformer raised it from 0.322 to </w:t>
      </w:r>
      <w:r>
        <w:rPr>
          <w:rFonts w:ascii="Times New Roman" w:cs="Times New Roman" w:eastAsia="Times New Roman" w:hAnsi="Times New Roman"/>
          <w:b/>
          <w:bCs/>
          <w:sz w:val="22"/>
          <w:szCs w:val="22"/>
        </w:rPr>
        <w:t xml:space="preserve">0.357</w:t>
      </w:r>
      <w:r>
        <w:rPr>
          <w:rFonts w:ascii="Times New Roman" w:cs="Times New Roman" w:eastAsia="Times New Roman" w:hAnsi="Times New Roman"/>
          <w:sz w:val="22"/>
          <w:szCs w:val="22"/>
        </w:rPr>
        <w:t xml:space="preserve">. The input representation is therefore worth </w:t>
      </w:r>
      <w:r>
        <w:rPr>
          <w:rFonts w:ascii="Times New Roman" w:cs="Times New Roman" w:eastAsia="Times New Roman" w:hAnsi="Times New Roman"/>
          <w:b/>
          <w:bCs/>
          <w:sz w:val="22"/>
          <w:szCs w:val="22"/>
        </w:rPr>
        <w:t xml:space="preserve">+0.080</w:t>
      </w:r>
      <w:r>
        <w:rPr>
          <w:rFonts w:ascii="Times New Roman" w:cs="Times New Roman" w:eastAsia="Times New Roman" w:hAnsi="Times New Roman"/>
          <w:sz w:val="22"/>
          <w:szCs w:val="22"/>
        </w:rPr>
        <w:t xml:space="preserve"> and the encoder </w:t>
      </w:r>
      <w:r>
        <w:rPr>
          <w:rFonts w:ascii="Times New Roman" w:cs="Times New Roman" w:eastAsia="Times New Roman" w:hAnsi="Times New Roman"/>
          <w:b/>
          <w:bCs/>
          <w:sz w:val="22"/>
          <w:szCs w:val="22"/>
        </w:rPr>
        <w:t xml:space="preserve">+0.035</w:t>
      </w:r>
      <w:r>
        <w:rPr>
          <w:rFonts w:ascii="Times New Roman" w:cs="Times New Roman" w:eastAsia="Times New Roman" w:hAnsi="Times New Roman"/>
          <w:sz w:val="22"/>
          <w:szCs w:val="22"/>
        </w:rPr>
        <w:t xml:space="preserve"> — the choice of what text the model reads matters more than twice as much as the choice of model. We further find that a document with its distorted sentence removed still scores 0.281, so the surrounding text is weakly informative but acts as a net drag on performance.</w:t>
      </w:r>
    </w:p>
    <w:p>
      <w:pPr>
        <w:spacing w:after="160" w:line="300"/>
        <w:jc w:val="both"/>
      </w:pPr>
      <w:r>
        <w:rPr>
          <w:rFonts w:ascii="Times New Roman" w:cs="Times New Roman" w:eastAsia="Times New Roman" w:hAnsi="Times New Roman"/>
          <w:sz w:val="22"/>
          <w:szCs w:val="22"/>
        </w:rPr>
        <w:t xml:space="preserve">This result is an upper bound: it uses the human-marked region, which is unavailable at prediction time. It establishes the value of learning to find that region, which is what the proposed span-selection head is designed to do.</w:t>
      </w:r>
    </w:p>
    <w:p>
      <w:pPr>
        <w:pStyle w:val="Heading1"/>
        <w:spacing w:after="140" w:before="280"/>
      </w:pPr>
      <w:r>
        <w:rPr>
          <w:rFonts w:ascii="Times New Roman" w:cs="Times New Roman" w:eastAsia="Times New Roman" w:hAnsi="Times New Roman"/>
          <w:b/>
          <w:bCs/>
          <w:sz w:val="26"/>
          <w:szCs w:val="26"/>
        </w:rPr>
        <w:t xml:space="preserve">References</w:t>
      </w:r>
    </w:p>
    <w:p>
      <w:pPr>
        <w:spacing w:after="140" w:line="300"/>
        <w:ind w:left="576" w:hanging="576"/>
        <w:jc w:val="both"/>
      </w:pPr>
      <w:r>
        <w:rPr>
          <w:rFonts w:ascii="Times New Roman" w:cs="Times New Roman" w:eastAsia="Times New Roman" w:hAnsi="Times New Roman"/>
          <w:sz w:val="22"/>
          <w:szCs w:val="22"/>
        </w:rPr>
        <w:t xml:space="preserve">[1]	A. T. Beck, Cognitive Therapy and the Emotional Disorders. New York: International Universities Press, 1976.</w:t>
      </w:r>
    </w:p>
    <w:p>
      <w:pPr>
        <w:spacing w:after="140" w:line="300"/>
        <w:ind w:left="576" w:hanging="576"/>
        <w:jc w:val="both"/>
      </w:pPr>
      <w:r>
        <w:rPr>
          <w:rFonts w:ascii="Times New Roman" w:cs="Times New Roman" w:eastAsia="Times New Roman" w:hAnsi="Times New Roman"/>
          <w:sz w:val="22"/>
          <w:szCs w:val="22"/>
        </w:rPr>
        <w:t xml:space="preserve">[2]	D. D. Burns, Feeling Good: The New Mood Therapy. New York: William Morrow, 1980.</w:t>
      </w:r>
    </w:p>
    <w:p>
      <w:pPr>
        <w:spacing w:after="140" w:line="300"/>
        <w:ind w:left="576" w:hanging="576"/>
        <w:jc w:val="both"/>
      </w:pPr>
      <w:r>
        <w:rPr>
          <w:rFonts w:ascii="Times New Roman" w:cs="Times New Roman" w:eastAsia="Times New Roman" w:hAnsi="Times New Roman"/>
          <w:sz w:val="22"/>
          <w:szCs w:val="22"/>
        </w:rPr>
        <w:t xml:space="preserve">[3]	S. Shreevastava and P. Foltz, “Detecting cognitive distortions from patient-therapist interactions,” in Proceedings of the Seventh Workshop on Computational Linguistics and Clinical Psychology (CLPsych), 2021, pp. 151–158.</w:t>
      </w:r>
    </w:p>
    <w:p>
      <w:pPr>
        <w:spacing w:after="140" w:line="300"/>
        <w:ind w:left="576" w:hanging="576"/>
        <w:jc w:val="both"/>
      </w:pPr>
      <w:r>
        <w:rPr>
          <w:rFonts w:ascii="Times New Roman" w:cs="Times New Roman" w:eastAsia="Times New Roman" w:hAnsi="Times New Roman"/>
          <w:sz w:val="22"/>
          <w:szCs w:val="22"/>
        </w:rPr>
        <w:t xml:space="preserve">[4]	J. Cohen, “A coefficient of agreement for nominal scales,” Educational and Psychological Measurement, vol. 20, no. 1, pp. 37–46, 1960.</w:t>
      </w:r>
    </w:p>
    <w:p>
      <w:pPr>
        <w:spacing w:after="140" w:line="300"/>
        <w:ind w:left="576" w:hanging="576"/>
        <w:jc w:val="both"/>
      </w:pPr>
      <w:r>
        <w:rPr>
          <w:rFonts w:ascii="Times New Roman" w:cs="Times New Roman" w:eastAsia="Times New Roman" w:hAnsi="Times New Roman"/>
          <w:sz w:val="22"/>
          <w:szCs w:val="22"/>
        </w:rPr>
        <w:t xml:space="preserve">[5]	J. R. Landis and G. G. Koch, “The measurement of observer agreement for categorical data,” Biometrics, vol. 33, no. 1, pp. 159–174, 1977.</w:t>
      </w:r>
    </w:p>
    <w:p>
      <w:pPr>
        <w:spacing w:after="140" w:line="300"/>
        <w:ind w:left="576" w:hanging="576"/>
        <w:jc w:val="both"/>
      </w:pPr>
      <w:r>
        <w:rPr>
          <w:rFonts w:ascii="Times New Roman" w:cs="Times New Roman" w:eastAsia="Times New Roman" w:hAnsi="Times New Roman"/>
          <w:sz w:val="22"/>
          <w:szCs w:val="22"/>
        </w:rPr>
        <w:t xml:space="preserve">[6]	M. Maddela, M. Ung, J. Xu, A. Madotto, H. Foran, and Y.-L. Boureau, “Training models to generate, recognize, and reframe unhelpful thoughts,” in Proceedings of the 61st Annual Meeting of the Association for Computational Linguistics (ACL), 2023.</w:t>
      </w:r>
    </w:p>
    <w:p>
      <w:pPr>
        <w:spacing w:after="140" w:line="300"/>
        <w:ind w:left="576" w:hanging="576"/>
        <w:jc w:val="both"/>
      </w:pPr>
      <w:r>
        <w:rPr>
          <w:rFonts w:ascii="Times New Roman" w:cs="Times New Roman" w:eastAsia="Times New Roman" w:hAnsi="Times New Roman"/>
          <w:sz w:val="22"/>
          <w:szCs w:val="22"/>
        </w:rPr>
        <w:t xml:space="preserve">[7]	S. Ji, T. Zhang, L. Ansari, J. Fu, P. Tiwari, and E. Cambria, “MentalBERT: Publicly available pretrained language models for mental healthcare,” in Proceedings of the Thirteenth Language Resources and Evaluation Conference (LREC), 2022, pp. 7184–7190.</w:t>
      </w:r>
    </w:p>
    <w:p>
      <w:pPr>
        <w:spacing w:after="140" w:line="300"/>
        <w:ind w:left="576" w:hanging="576"/>
        <w:jc w:val="both"/>
      </w:pPr>
      <w:r>
        <w:rPr>
          <w:rFonts w:ascii="Times New Roman" w:cs="Times New Roman" w:eastAsia="Times New Roman" w:hAnsi="Times New Roman"/>
          <w:sz w:val="22"/>
          <w:szCs w:val="22"/>
        </w:rPr>
        <w:t xml:space="preserve">[8]	T. Lei, R. Barzilay, and T. Jaakkola, “Rationalizing neural predictions,” in Proceedings of the 2016 Conference on Empirical Methods in Natural Language Processing (EMNLP), 2016, pp. 107–117.</w:t>
      </w:r>
    </w:p>
    <w:p>
      <w:pPr>
        <w:spacing w:after="140" w:line="300"/>
        <w:ind w:left="576" w:hanging="576"/>
        <w:jc w:val="both"/>
      </w:pPr>
      <w:r>
        <w:rPr>
          <w:rFonts w:ascii="Times New Roman" w:cs="Times New Roman" w:eastAsia="Times New Roman" w:hAnsi="Times New Roman"/>
          <w:sz w:val="22"/>
          <w:szCs w:val="22"/>
        </w:rPr>
        <w:t xml:space="preserve">[9]	J. DeYoung, S. Jain, N. F. Rajani, E. Lehman, C. Xiong, R. Socher, and B. C. Wallace, “ERASER: A benchmark to evaluate rationalized NLP models,” in Proceedings of the 58th Annual Meeting of the Association for Computational Linguistics (ACL), 2020, pp. 4443–4458.</w:t>
      </w:r>
    </w:p>
    <w:p>
      <w:pPr>
        <w:spacing w:after="140" w:line="300"/>
        <w:ind w:left="576" w:hanging="576"/>
        <w:jc w:val="both"/>
      </w:pPr>
      <w:r>
        <w:rPr>
          <w:rFonts w:ascii="Times New Roman" w:cs="Times New Roman" w:eastAsia="Times New Roman" w:hAnsi="Times New Roman"/>
          <w:sz w:val="22"/>
          <w:szCs w:val="22"/>
        </w:rPr>
        <w:t xml:space="preserve">[10]	J. Phang, T. Févry, and S. R. Bowman, “Sentence encoders on STILTs: Supplementary training on intermediate labeled-data tasks,” arXiv preprint arXiv:1811.01088, 2018.</w:t>
      </w:r>
    </w:p>
    <w:p>
      <w:pPr>
        <w:spacing w:after="140" w:line="300"/>
        <w:ind w:left="576" w:hanging="576"/>
        <w:jc w:val="both"/>
      </w:pPr>
      <w:r>
        <w:rPr>
          <w:rFonts w:ascii="Times New Roman" w:cs="Times New Roman" w:eastAsia="Times New Roman" w:hAnsi="Times New Roman"/>
          <w:sz w:val="22"/>
          <w:szCs w:val="22"/>
        </w:rPr>
        <w:t xml:space="preserve">[11]	C. G. Northcutt, L. Jiang, and I. L. Chuang, “Confident learning: Estimating uncertainty in dataset labels,” Journal of Artificial Intelligence Research, vol. 70, pp. 1373–1411, 2021.</w:t>
      </w:r>
    </w:p>
    <w:p>
      <w:r>
        <w:br w:type="page"/>
      </w:r>
    </w:p>
    <w:p>
      <w:pPr>
        <w:pStyle w:val="Heading1"/>
        <w:spacing w:after="140" w:before="280"/>
      </w:pPr>
      <w:r>
        <w:rPr>
          <w:rFonts w:ascii="Times New Roman" w:cs="Times New Roman" w:eastAsia="Times New Roman" w:hAnsi="Times New Roman"/>
          <w:b/>
          <w:bCs/>
          <w:sz w:val="26"/>
          <w:szCs w:val="26"/>
        </w:rPr>
        <w:t xml:space="preserve">⚠ Before submission — delete this page</w:t>
      </w:r>
    </w:p>
    <w:p>
      <w:pPr>
        <w:spacing w:after="160" w:line="300"/>
        <w:jc w:val="both"/>
      </w:pPr>
      <w:r>
        <w:rPr>
          <w:rFonts w:ascii="Times New Roman" w:cs="Times New Roman" w:eastAsia="Times New Roman" w:hAnsi="Times New Roman"/>
          <w:b/>
          <w:bCs/>
          <w:sz w:val="22"/>
          <w:szCs w:val="22"/>
        </w:rPr>
        <w:t xml:space="preserve">Placeholders to fill on the title page:</w:t>
      </w:r>
      <w:r>
        <w:rPr>
          <w:rFonts w:ascii="Times New Roman" w:cs="Times New Roman" w:eastAsia="Times New Roman" w:hAnsi="Times New Roman"/>
          <w:sz w:val="22"/>
          <w:szCs w:val="22"/>
        </w:rPr>
        <w:t xml:space="preserve"> advisor name, all member names and roll numbers, campus.</w:t>
      </w:r>
    </w:p>
    <w:p>
      <w:pPr>
        <w:spacing w:after="160" w:line="300"/>
        <w:jc w:val="both"/>
      </w:pPr>
      <w:r>
        <w:rPr>
          <w:rFonts w:ascii="Times New Roman" w:cs="Times New Roman" w:eastAsia="Times New Roman" w:hAnsi="Times New Roman"/>
          <w:b/>
          <w:bCs/>
          <w:sz w:val="22"/>
          <w:szCs w:val="22"/>
        </w:rPr>
        <w:t xml:space="preserve">Citations requiring verification.</w:t>
      </w:r>
      <w:r>
        <w:rPr>
          <w:rFonts w:ascii="Times New Roman" w:cs="Times New Roman" w:eastAsia="Times New Roman" w:hAnsi="Times New Roman"/>
          <w:sz w:val="22"/>
          <w:szCs w:val="22"/>
        </w:rPr>
        <w:t xml:space="preserve"> The repository file docs/REFERENCES.md marks most entries as recorded from memory rather than checked against the source. Confirm venue, page numbers and identifiers before submitting: [3] (page range, plus the exact F1 variant behind 0.79 and the ~1/3 agreement figure, both already flagged in docs/EXPERIMENTS.md), [6], [7] (author list), [8], [9], [10], [11].</w:t>
      </w:r>
    </w:p>
    <w:p>
      <w:pPr>
        <w:spacing w:after="160" w:line="300"/>
        <w:jc w:val="both"/>
      </w:pPr>
      <w:r>
        <w:rPr>
          <w:rFonts w:ascii="Times New Roman" w:cs="Times New Roman" w:eastAsia="Times New Roman" w:hAnsi="Times New Roman"/>
          <w:b/>
          <w:bCs/>
          <w:sz w:val="22"/>
          <w:szCs w:val="22"/>
        </w:rPr>
        <w:t xml:space="preserve">Citations deliberately left descriptive.</w:t>
      </w:r>
      <w:r>
        <w:rPr>
          <w:rFonts w:ascii="Times New Roman" w:cs="Times New Roman" w:eastAsia="Times New Roman" w:hAnsi="Times New Roman"/>
          <w:sz w:val="22"/>
          <w:szCs w:val="22"/>
        </w:rPr>
        <w:t xml:space="preserve"> Section 4 refers to multi-label clinical work, a Chinese-language dataset, and zero-shot span-extraction prompting without numbered references, because verified citation details for those papers are not recorded in this repository. Add them from your own literature review — they are named in the planning documents under Desktop\FYP\. The zero-shot extraction paper is the source of the ground-truth-span improvement described in Section 4 and should be cited there.</w:t>
      </w:r>
    </w:p>
    <w:p>
      <w:pPr>
        <w:spacing w:after="160" w:line="300"/>
        <w:jc w:val="both"/>
      </w:pPr>
      <w:r>
        <w:rPr>
          <w:rFonts w:ascii="Times New Roman" w:cs="Times New Roman" w:eastAsia="Times New Roman" w:hAnsi="Times New Roman"/>
          <w:b/>
          <w:bCs/>
          <w:sz w:val="22"/>
          <w:szCs w:val="22"/>
        </w:rPr>
        <w:t xml:space="preserve">Consistency:</w:t>
      </w:r>
      <w:r>
        <w:rPr>
          <w:rFonts w:ascii="Times New Roman" w:cs="Times New Roman" w:eastAsia="Times New Roman" w:hAnsi="Times New Roman"/>
          <w:sz w:val="22"/>
          <w:szCs w:val="22"/>
        </w:rPr>
        <w:t xml:space="preserve"> this proposal is aligned with docs/FYP_PLAN.md. If scope changes, update both.</w:t>
      </w:r>
    </w:p>
    <w:sectPr>
      <w:headerReference w:type="default" r:id="rId7"/>
      <w:head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pPr>
    <w:r>
      <w:rPr>
        <w:rFonts w:ascii="Times New Roman" w:cs="Times New Roman" w:eastAsia="Times New Roman" w:hAnsi="Times New Roman"/>
        <w:sz w:val="18"/>
        <w:szCs w:val="18"/>
      </w:rPr>
      <w:t xml:space="preserve">EmpowerLens: Cognitive Distortion Detection</w:t>
    </w:r>
    <w:r>
      <w:rPr>
        <w:rFonts w:ascii="Times New Roman" w:cs="Times New Roman" w:eastAsia="Times New Roman" w:hAnsi="Times New Roman"/>
        <w:sz w:val="18"/>
        <w:szCs w:val="18"/>
      </w:rPr>
      <w:ptab w:alignment="right" w:relativeTo="margin" w:leader="none"/>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2026-08-29T17:41:37.609Z</dcterms:created>
  <dcterms:modified xsi:type="dcterms:W3CDTF">2026-08-29T17:41:37.619Z</dcterms:modified>
</cp:coreProperties>
</file>

<file path=docProps/custom.xml><?xml version="1.0" encoding="utf-8"?>
<Properties xmlns="http://schemas.openxmlformats.org/officeDocument/2006/custom-properties" xmlns:vt="http://schemas.openxmlformats.org/officeDocument/2006/docPropsVTypes"/>
</file>