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2"/>
          <w:szCs w:val="32"/>
        </w:rPr>
        <w:t xml:space="preserve">Interactive Image Mosaic Generator</w:t>
      </w:r>
    </w:p>
    <w:p>
      <w:pPr>
        <w:spacing w:after="200"/>
        <w:jc w:val="center"/>
      </w:pPr>
      <w:r>
        <w:rPr>
          <w:color w:val="555555"/>
          <w:sz w:val="22"/>
          <w:szCs w:val="22"/>
        </w:rPr>
        <w:t xml:space="preserve">Performance Report — CS5130 Lab 1</w:t>
      </w:r>
    </w:p>
    <w:p>
      <w:pPr>
        <w:pStyle w:val="Heading2"/>
        <w:spacing w:after="100" w:before="200"/>
      </w:pPr>
      <w:r>
        <w:t xml:space="preserve">Method</w:t>
      </w:r>
    </w:p>
    <w:p>
      <w:pPr>
        <w:spacing w:after="120"/>
      </w:pPr>
      <w:r>
        <w:rPr>
          <w:sz w:val="21"/>
          <w:szCs w:val="21"/>
        </w:rPr>
        <w:t xml:space="preserve">The pipeline has four stages. Preprocessing resizes and center-crops the uploaded image to grid_size × cell_px pixels so an even N×N grid always fits. Grid color computation reshapes the image array into (grid_size, cell_h, grid_size, cell_w, 3) and averages over the cell axes with a single vectorized NumPy call, producing one representative RGB color per cell without any Python-level loop over cells; a nested-loop version that iterates cell by cell was implemented alongside it purely to measure the speedup vectorization provides. Tile mapping pre-generates a palette of synthetic tiles (solid, gradient, or cross patterns) across a quantized RGB grid, builds a k-d tree over the palette colors, and looks up the nearest tile for every cell color in one batched query. Reconstruction pastes each matched tile into its grid position to assemble the final mosaic, and a red-lined grid overlay of the preprocessed image is produced for visualizing the segmentation.</w:t>
      </w:r>
    </w:p>
    <w:p>
      <w:pPr>
        <w:pStyle w:val="Heading2"/>
        <w:spacing w:after="100" w:before="200"/>
      </w:pPr>
      <w:r>
        <w:t xml:space="preserve">Similarity Metric</w:t>
      </w:r>
    </w:p>
    <w:p>
      <w:pPr>
        <w:spacing w:after="120"/>
      </w:pPr>
      <w:r>
        <w:rPr>
          <w:sz w:val="21"/>
          <w:szCs w:val="21"/>
        </w:rPr>
        <w:t xml:space="preserve">Two metrics compare the mosaic against the preprocessed original. Mean Squared Error (MSE) averages the squared per-pixel intensity difference; it is sensitive to raw color deviation but ignores structure, so a uniformly shifted image and a structurally different one can score similarly. Structural Similarity Index (SSIM) instead compares local luminance, contrast, and structure between corresponding windows, giving a score in [-1, 1] that better reflects perceived visual similarity. Reporting both gives a fuller picture: MSE flags color-fidelity loss from tiling, while SSIM flags how much the tile pattern itself disrupts the original's structure.</w:t>
      </w:r>
    </w:p>
    <w:p>
      <w:pPr>
        <w:pStyle w:val="Heading2"/>
        <w:spacing w:after="100" w:before="200"/>
      </w:pPr>
      <w:r>
        <w:t xml:space="preserve">Sample Result (grid = 32, tile style =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tc>
        <w:tc>
          <w:tcPr>
            <w:tcW w:type="dxa" w:w="3120"/>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tc>
        <w:tc>
          <w:tcPr>
            <w:tcW w:type="dxa" w:w="3120"/>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tc>
      </w:tr>
      <w:tr>
        <w:tc>
          <w:tcPr>
            <w:tcW w:type="dxa" w:w="3120"/>
          </w:tcPr>
          <w:p>
            <w:pPr>
              <w:jc w:val="center"/>
            </w:pPr>
            <w:r>
              <w:rPr>
                <w:i/>
                <w:iCs/>
                <w:sz w:val="17"/>
                <w:szCs w:val="17"/>
              </w:rPr>
              <w:t xml:space="preserve">Original (preprocessed)</w:t>
            </w:r>
          </w:p>
        </w:tc>
        <w:tc>
          <w:tcPr>
            <w:tcW w:type="dxa" w:w="3120"/>
          </w:tcPr>
          <w:p>
            <w:pPr>
              <w:jc w:val="center"/>
            </w:pPr>
            <w:r>
              <w:rPr>
                <w:i/>
                <w:iCs/>
                <w:sz w:val="17"/>
                <w:szCs w:val="17"/>
              </w:rPr>
              <w:t xml:space="preserve">Grid segmentation</w:t>
            </w:r>
          </w:p>
        </w:tc>
        <w:tc>
          <w:tcPr>
            <w:tcW w:type="dxa" w:w="3120"/>
          </w:tcPr>
          <w:p>
            <w:pPr>
              <w:jc w:val="center"/>
            </w:pPr>
            <w:r>
              <w:rPr>
                <w:i/>
                <w:iCs/>
                <w:sz w:val="17"/>
                <w:szCs w:val="17"/>
              </w:rPr>
              <w:t xml:space="preserve">Mosaic reconstruction</w:t>
            </w:r>
          </w:p>
        </w:tc>
      </w:tr>
    </w:tbl>
    <w:p>
      <w:pPr>
        <w:spacing w:after="120"/>
      </w:pPr>
      <w:r>
        <w:rPr>
          <w:sz w:val="21"/>
          <w:szCs w:val="21"/>
        </w:rPr>
        <w:t xml:space="preserve">For this configuration: MSE = 1618.85, SSIM = 0.290.</w:t>
      </w:r>
    </w:p>
    <w:p>
      <w:r>
        <w:br/>
        <w:t xml:space="preserve"/>
      </w:r>
    </w:p>
    <w:p>
      <w:pPr>
        <w:pStyle w:val="Heading2"/>
        <w:spacing w:after="100" w:before="200"/>
      </w:pPr>
      <w:r>
        <w:t xml:space="preserve">Performance: Grid Size and Vectorization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shd w:fill="DCE6F1" w:val="clear"/>
            <w:vAlign w:val="center"/>
          </w:tcPr>
          <w:p>
            <w:pPr>
              <w:jc w:val="center"/>
            </w:pPr>
            <w:r>
              <w:rPr>
                <w:b/>
                <w:bCs/>
                <w:sz w:val="19"/>
                <w:szCs w:val="19"/>
              </w:rPr>
              <w:t xml:space="preserve">Grid Size</w:t>
            </w:r>
          </w:p>
        </w:tc>
        <w:tc>
          <w:tcPr>
            <w:tcW w:type="dxa" w:w="2400"/>
            <w:shd w:fill="DCE6F1" w:val="clear"/>
            <w:vAlign w:val="center"/>
          </w:tcPr>
          <w:p>
            <w:pPr>
              <w:jc w:val="center"/>
            </w:pPr>
            <w:r>
              <w:rPr>
                <w:b/>
                <w:bCs/>
                <w:sz w:val="19"/>
                <w:szCs w:val="19"/>
              </w:rPr>
              <w:t xml:space="preserve">Vectorized (ms)</w:t>
            </w:r>
          </w:p>
        </w:tc>
        <w:tc>
          <w:tcPr>
            <w:tcW w:type="dxa" w:w="2400"/>
            <w:shd w:fill="DCE6F1" w:val="clear"/>
            <w:vAlign w:val="center"/>
          </w:tcPr>
          <w:p>
            <w:pPr>
              <w:jc w:val="center"/>
            </w:pPr>
            <w:r>
              <w:rPr>
                <w:b/>
                <w:bCs/>
                <w:sz w:val="19"/>
                <w:szCs w:val="19"/>
              </w:rPr>
              <w:t xml:space="preserve">Loop (ms)</w:t>
            </w:r>
          </w:p>
        </w:tc>
        <w:tc>
          <w:tcPr>
            <w:tcW w:type="dxa" w:w="2160"/>
            <w:shd w:fill="DCE6F1" w:val="clear"/>
            <w:vAlign w:val="center"/>
          </w:tcPr>
          <w:p>
            <w:pPr>
              <w:jc w:val="center"/>
            </w:pPr>
            <w:r>
              <w:rPr>
                <w:b/>
                <w:bCs/>
                <w:sz w:val="19"/>
                <w:szCs w:val="19"/>
              </w:rPr>
              <w:t xml:space="preserve">Speedup</w:t>
            </w:r>
          </w:p>
        </w:tc>
      </w:tr>
      <w:tr>
        <w:tc>
          <w:tcPr>
            <w:tcW w:type="dxa" w:w="2400"/>
            <w:vAlign w:val="center"/>
          </w:tcPr>
          <w:p>
            <w:pPr>
              <w:jc w:val="center"/>
            </w:pPr>
            <w:r>
              <w:rPr>
                <w:b w:val="false"/>
                <w:bCs w:val="false"/>
                <w:sz w:val="19"/>
                <w:szCs w:val="19"/>
              </w:rPr>
              <w:t xml:space="preserve">16 × 16</w:t>
            </w:r>
          </w:p>
        </w:tc>
        <w:tc>
          <w:tcPr>
            <w:tcW w:type="dxa" w:w="2400"/>
            <w:vAlign w:val="center"/>
          </w:tcPr>
          <w:p>
            <w:pPr>
              <w:jc w:val="center"/>
            </w:pPr>
            <w:r>
              <w:rPr>
                <w:b w:val="false"/>
                <w:bCs w:val="false"/>
                <w:sz w:val="19"/>
                <w:szCs w:val="19"/>
              </w:rPr>
              <w:t xml:space="preserve">1.736</w:t>
            </w:r>
          </w:p>
        </w:tc>
        <w:tc>
          <w:tcPr>
            <w:tcW w:type="dxa" w:w="2400"/>
            <w:vAlign w:val="center"/>
          </w:tcPr>
          <w:p>
            <w:pPr>
              <w:jc w:val="center"/>
            </w:pPr>
            <w:r>
              <w:rPr>
                <w:b w:val="false"/>
                <w:bCs w:val="false"/>
                <w:sz w:val="19"/>
                <w:szCs w:val="19"/>
              </w:rPr>
              <w:t xml:space="preserve">2.585</w:t>
            </w:r>
          </w:p>
        </w:tc>
        <w:tc>
          <w:tcPr>
            <w:tcW w:type="dxa" w:w="2160"/>
            <w:vAlign w:val="center"/>
          </w:tcPr>
          <w:p>
            <w:pPr>
              <w:jc w:val="center"/>
            </w:pPr>
            <w:r>
              <w:rPr>
                <w:b w:val="false"/>
                <w:bCs w:val="false"/>
                <w:sz w:val="19"/>
                <w:szCs w:val="19"/>
              </w:rPr>
              <w:t xml:space="preserve">1.5x</w:t>
            </w:r>
          </w:p>
        </w:tc>
      </w:tr>
      <w:tr>
        <w:tc>
          <w:tcPr>
            <w:tcW w:type="dxa" w:w="2400"/>
            <w:vAlign w:val="center"/>
          </w:tcPr>
          <w:p>
            <w:pPr>
              <w:jc w:val="center"/>
            </w:pPr>
            <w:r>
              <w:rPr>
                <w:b w:val="false"/>
                <w:bCs w:val="false"/>
                <w:sz w:val="19"/>
                <w:szCs w:val="19"/>
              </w:rPr>
              <w:t xml:space="preserve">32 × 32</w:t>
            </w:r>
          </w:p>
        </w:tc>
        <w:tc>
          <w:tcPr>
            <w:tcW w:type="dxa" w:w="2400"/>
            <w:vAlign w:val="center"/>
          </w:tcPr>
          <w:p>
            <w:pPr>
              <w:jc w:val="center"/>
            </w:pPr>
            <w:r>
              <w:rPr>
                <w:b w:val="false"/>
                <w:bCs w:val="false"/>
                <w:sz w:val="19"/>
                <w:szCs w:val="19"/>
              </w:rPr>
              <w:t xml:space="preserve">4.459</w:t>
            </w:r>
          </w:p>
        </w:tc>
        <w:tc>
          <w:tcPr>
            <w:tcW w:type="dxa" w:w="2400"/>
            <w:vAlign w:val="center"/>
          </w:tcPr>
          <w:p>
            <w:pPr>
              <w:jc w:val="center"/>
            </w:pPr>
            <w:r>
              <w:rPr>
                <w:b w:val="false"/>
                <w:bCs w:val="false"/>
                <w:sz w:val="19"/>
                <w:szCs w:val="19"/>
              </w:rPr>
              <w:t xml:space="preserve">9.902</w:t>
            </w:r>
          </w:p>
        </w:tc>
        <w:tc>
          <w:tcPr>
            <w:tcW w:type="dxa" w:w="2160"/>
            <w:vAlign w:val="center"/>
          </w:tcPr>
          <w:p>
            <w:pPr>
              <w:jc w:val="center"/>
            </w:pPr>
            <w:r>
              <w:rPr>
                <w:b w:val="false"/>
                <w:bCs w:val="false"/>
                <w:sz w:val="19"/>
                <w:szCs w:val="19"/>
              </w:rPr>
              <w:t xml:space="preserve">2.2x</w:t>
            </w:r>
          </w:p>
        </w:tc>
      </w:tr>
      <w:tr>
        <w:tc>
          <w:tcPr>
            <w:tcW w:type="dxa" w:w="2400"/>
            <w:vAlign w:val="center"/>
          </w:tcPr>
          <w:p>
            <w:pPr>
              <w:jc w:val="center"/>
            </w:pPr>
            <w:r>
              <w:rPr>
                <w:b w:val="false"/>
                <w:bCs w:val="false"/>
                <w:sz w:val="19"/>
                <w:szCs w:val="19"/>
              </w:rPr>
              <w:t xml:space="preserve">64 × 64</w:t>
            </w:r>
          </w:p>
        </w:tc>
        <w:tc>
          <w:tcPr>
            <w:tcW w:type="dxa" w:w="2400"/>
            <w:vAlign w:val="center"/>
          </w:tcPr>
          <w:p>
            <w:pPr>
              <w:jc w:val="center"/>
            </w:pPr>
            <w:r>
              <w:rPr>
                <w:b w:val="false"/>
                <w:bCs w:val="false"/>
                <w:sz w:val="19"/>
                <w:szCs w:val="19"/>
              </w:rPr>
              <w:t xml:space="preserve">18.242</w:t>
            </w:r>
          </w:p>
        </w:tc>
        <w:tc>
          <w:tcPr>
            <w:tcW w:type="dxa" w:w="2400"/>
            <w:vAlign w:val="center"/>
          </w:tcPr>
          <w:p>
            <w:pPr>
              <w:jc w:val="center"/>
            </w:pPr>
            <w:r>
              <w:rPr>
                <w:b w:val="false"/>
                <w:bCs w:val="false"/>
                <w:sz w:val="19"/>
                <w:szCs w:val="19"/>
              </w:rPr>
              <w:t xml:space="preserve">42.788</w:t>
            </w:r>
          </w:p>
        </w:tc>
        <w:tc>
          <w:tcPr>
            <w:tcW w:type="dxa" w:w="2160"/>
            <w:vAlign w:val="center"/>
          </w:tcPr>
          <w:p>
            <w:pPr>
              <w:jc w:val="center"/>
            </w:pPr>
            <w:r>
              <w:rPr>
                <w:b w:val="false"/>
                <w:bCs w:val="false"/>
                <w:sz w:val="19"/>
                <w:szCs w:val="19"/>
              </w:rPr>
              <w:t xml:space="preserve">2.3x</w:t>
            </w:r>
          </w:p>
        </w:tc>
      </w:tr>
    </w:tbl>
    <w:p>
      <w:pPr>
        <w:spacing w:after="120"/>
      </w:pPr>
      <w:r>
        <w:rPr>
          <w:sz w:val="21"/>
          <w:szCs w:val="21"/>
        </w:rPr>
        <w:t xml:space="preserve">Times are averaged over 5 repeats per grid size on a single test image (mosaic_core.benchmark_grid_sizes). Going from 16×16 to 64×64 multiplies the number of cells by 16x. The nested-loop implementation's time grows almost in step with that (about 16.5x), since Python iterates every cell individually and per-cell overhead dominates. The vectorized implementation grows more gently in relative terms and stays 1.5x-2.3x faster throughout, because NumPy's reshape-and-mean reduction processes the whole array as one batched operation in C rather than looping in Python; the advantage widens as grid size (and therefore cell count) increases.</w:t>
      </w:r>
    </w:p>
    <w:p>
      <w:pPr>
        <w:spacing w:after="60" w:before="10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05000"/>
                    </a:xfrm>
                    <a:prstGeom prst="rect">
                      <a:avLst/>
                    </a:prstGeom>
                  </pic:spPr>
                </pic:pic>
              </a:graphicData>
            </a:graphic>
          </wp:inline>
        </w:drawing>
      </w:r>
    </w:p>
    <w:p>
      <w:pPr>
        <w:spacing w:after="160"/>
        <w:jc w:val="center"/>
      </w:pPr>
      <w:r>
        <w:rPr>
          <w:i/>
          <w:iCs/>
          <w:sz w:val="17"/>
          <w:szCs w:val="17"/>
        </w:rPr>
        <w:t xml:space="preserve">Figure: vectorized vs. loop timing, and full-pipeline timing, across grid sizes.</w:t>
      </w:r>
    </w:p>
    <w:p>
      <w:pPr>
        <w:pStyle w:val="Heading2"/>
        <w:spacing w:after="100" w:before="200"/>
      </w:pPr>
      <w:r>
        <w:t xml:space="preserve">Reconstruction Quality vs. Grid Size and Tile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shd w:fill="DCE6F1" w:val="clear"/>
            <w:vAlign w:val="center"/>
          </w:tcPr>
          <w:p>
            <w:pPr>
              <w:jc w:val="center"/>
            </w:pPr>
            <w:r>
              <w:rPr>
                <w:b/>
                <w:bCs/>
                <w:sz w:val="19"/>
                <w:szCs w:val="19"/>
              </w:rPr>
              <w:t xml:space="preserve">Grid Size</w:t>
            </w:r>
          </w:p>
        </w:tc>
        <w:tc>
          <w:tcPr>
            <w:tcW w:type="dxa" w:w="2400"/>
            <w:shd w:fill="DCE6F1" w:val="clear"/>
            <w:vAlign w:val="center"/>
          </w:tcPr>
          <w:p>
            <w:pPr>
              <w:jc w:val="center"/>
            </w:pPr>
            <w:r>
              <w:rPr>
                <w:b/>
                <w:bCs/>
                <w:sz w:val="19"/>
                <w:szCs w:val="19"/>
              </w:rPr>
              <w:t xml:space="preserve">Tile Style</w:t>
            </w:r>
          </w:p>
        </w:tc>
        <w:tc>
          <w:tcPr>
            <w:tcW w:type="dxa" w:w="2400"/>
            <w:shd w:fill="DCE6F1" w:val="clear"/>
            <w:vAlign w:val="center"/>
          </w:tcPr>
          <w:p>
            <w:pPr>
              <w:jc w:val="center"/>
            </w:pPr>
            <w:r>
              <w:rPr>
                <w:b/>
                <w:bCs/>
                <w:sz w:val="19"/>
                <w:szCs w:val="19"/>
              </w:rPr>
              <w:t xml:space="preserve">MSE</w:t>
            </w:r>
          </w:p>
        </w:tc>
        <w:tc>
          <w:tcPr>
            <w:tcW w:type="dxa" w:w="2400"/>
            <w:shd w:fill="DCE6F1" w:val="clear"/>
            <w:vAlign w:val="center"/>
          </w:tcPr>
          <w:p>
            <w:pPr>
              <w:jc w:val="center"/>
            </w:pPr>
            <w:r>
              <w:rPr>
                <w:b/>
                <w:bCs/>
                <w:sz w:val="19"/>
                <w:szCs w:val="19"/>
              </w:rPr>
              <w:t xml:space="preserve">SSIM</w:t>
            </w:r>
          </w:p>
        </w:tc>
      </w:tr>
      <w:tr>
        <w:tc>
          <w:tcPr>
            <w:tcW w:type="dxa" w:w="2160"/>
            <w:vAlign w:val="center"/>
          </w:tcPr>
          <w:p>
            <w:pPr>
              <w:jc w:val="center"/>
            </w:pPr>
            <w:r>
              <w:rPr>
                <w:b w:val="false"/>
                <w:bCs w:val="false"/>
                <w:sz w:val="19"/>
                <w:szCs w:val="19"/>
              </w:rPr>
              <w:t xml:space="preserve">16</w:t>
            </w:r>
          </w:p>
        </w:tc>
        <w:tc>
          <w:tcPr>
            <w:tcW w:type="dxa" w:w="2400"/>
            <w:vAlign w:val="center"/>
          </w:tcPr>
          <w:p>
            <w:pPr>
              <w:jc w:val="center"/>
            </w:pPr>
            <w:r>
              <w:rPr>
                <w:b w:val="false"/>
                <w:bCs w:val="false"/>
                <w:sz w:val="19"/>
                <w:szCs w:val="19"/>
              </w:rPr>
              <w:t xml:space="preserve">solid</w:t>
            </w:r>
          </w:p>
        </w:tc>
        <w:tc>
          <w:tcPr>
            <w:tcW w:type="dxa" w:w="2400"/>
            <w:vAlign w:val="center"/>
          </w:tcPr>
          <w:p>
            <w:pPr>
              <w:jc w:val="center"/>
            </w:pPr>
            <w:r>
              <w:rPr>
                <w:b w:val="false"/>
                <w:bCs w:val="false"/>
                <w:sz w:val="19"/>
                <w:szCs w:val="19"/>
              </w:rPr>
              <w:t xml:space="preserve">1290.5</w:t>
            </w:r>
          </w:p>
        </w:tc>
        <w:tc>
          <w:tcPr>
            <w:tcW w:type="dxa" w:w="2400"/>
            <w:vAlign w:val="center"/>
          </w:tcPr>
          <w:p>
            <w:pPr>
              <w:jc w:val="center"/>
            </w:pPr>
            <w:r>
              <w:rPr>
                <w:b w:val="false"/>
                <w:bCs w:val="false"/>
                <w:sz w:val="19"/>
                <w:szCs w:val="19"/>
              </w:rPr>
              <w:t xml:space="preserve">0.423</w:t>
            </w:r>
          </w:p>
        </w:tc>
      </w:tr>
      <w:tr>
        <w:tc>
          <w:tcPr>
            <w:tcW w:type="dxa" w:w="2160"/>
            <w:vAlign w:val="center"/>
          </w:tcPr>
          <w:p>
            <w:pPr>
              <w:jc w:val="center"/>
            </w:pPr>
            <w:r>
              <w:rPr>
                <w:b w:val="false"/>
                <w:bCs w:val="false"/>
                <w:sz w:val="19"/>
                <w:szCs w:val="19"/>
              </w:rPr>
              <w:t xml:space="preserve">16</w:t>
            </w:r>
          </w:p>
        </w:tc>
        <w:tc>
          <w:tcPr>
            <w:tcW w:type="dxa" w:w="2400"/>
            <w:vAlign w:val="center"/>
          </w:tcPr>
          <w:p>
            <w:pPr>
              <w:jc w:val="center"/>
            </w:pPr>
            <w:r>
              <w:rPr>
                <w:b w:val="false"/>
                <w:bCs w:val="false"/>
                <w:sz w:val="19"/>
                <w:szCs w:val="19"/>
              </w:rPr>
              <w:t xml:space="preserve">gradient</w:t>
            </w:r>
          </w:p>
        </w:tc>
        <w:tc>
          <w:tcPr>
            <w:tcW w:type="dxa" w:w="2400"/>
            <w:vAlign w:val="center"/>
          </w:tcPr>
          <w:p>
            <w:pPr>
              <w:jc w:val="center"/>
            </w:pPr>
            <w:r>
              <w:rPr>
                <w:b w:val="false"/>
                <w:bCs w:val="false"/>
                <w:sz w:val="19"/>
                <w:szCs w:val="19"/>
              </w:rPr>
              <w:t xml:space="preserve">1767.7</w:t>
            </w:r>
          </w:p>
        </w:tc>
        <w:tc>
          <w:tcPr>
            <w:tcW w:type="dxa" w:w="2400"/>
            <w:vAlign w:val="center"/>
          </w:tcPr>
          <w:p>
            <w:pPr>
              <w:jc w:val="center"/>
            </w:pPr>
            <w:r>
              <w:rPr>
                <w:b w:val="false"/>
                <w:bCs w:val="false"/>
                <w:sz w:val="19"/>
                <w:szCs w:val="19"/>
              </w:rPr>
              <w:t xml:space="preserve">0.344</w:t>
            </w:r>
          </w:p>
        </w:tc>
      </w:tr>
      <w:tr>
        <w:tc>
          <w:tcPr>
            <w:tcW w:type="dxa" w:w="2160"/>
            <w:vAlign w:val="center"/>
          </w:tcPr>
          <w:p>
            <w:pPr>
              <w:jc w:val="center"/>
            </w:pPr>
            <w:r>
              <w:rPr>
                <w:b w:val="false"/>
                <w:bCs w:val="false"/>
                <w:sz w:val="19"/>
                <w:szCs w:val="19"/>
              </w:rPr>
              <w:t xml:space="preserve">16</w:t>
            </w:r>
          </w:p>
        </w:tc>
        <w:tc>
          <w:tcPr>
            <w:tcW w:type="dxa" w:w="2400"/>
            <w:vAlign w:val="center"/>
          </w:tcPr>
          <w:p>
            <w:pPr>
              <w:jc w:val="center"/>
            </w:pPr>
            <w:r>
              <w:rPr>
                <w:b w:val="false"/>
                <w:bCs w:val="false"/>
                <w:sz w:val="19"/>
                <w:szCs w:val="19"/>
              </w:rPr>
              <w:t xml:space="preserve">cross</w:t>
            </w:r>
          </w:p>
        </w:tc>
        <w:tc>
          <w:tcPr>
            <w:tcW w:type="dxa" w:w="2400"/>
            <w:vAlign w:val="center"/>
          </w:tcPr>
          <w:p>
            <w:pPr>
              <w:jc w:val="center"/>
            </w:pPr>
            <w:r>
              <w:rPr>
                <w:b w:val="false"/>
                <w:bCs w:val="false"/>
                <w:sz w:val="19"/>
                <w:szCs w:val="19"/>
              </w:rPr>
              <w:t xml:space="preserve">1979.5</w:t>
            </w:r>
          </w:p>
        </w:tc>
        <w:tc>
          <w:tcPr>
            <w:tcW w:type="dxa" w:w="2400"/>
            <w:vAlign w:val="center"/>
          </w:tcPr>
          <w:p>
            <w:pPr>
              <w:jc w:val="center"/>
            </w:pPr>
            <w:r>
              <w:rPr>
                <w:b w:val="false"/>
                <w:bCs w:val="false"/>
                <w:sz w:val="19"/>
                <w:szCs w:val="19"/>
              </w:rPr>
              <w:t xml:space="preserve">0.236</w:t>
            </w:r>
          </w:p>
        </w:tc>
      </w:tr>
      <w:tr>
        <w:tc>
          <w:tcPr>
            <w:tcW w:type="dxa" w:w="2160"/>
            <w:vAlign w:val="center"/>
          </w:tcPr>
          <w:p>
            <w:pPr>
              <w:jc w:val="center"/>
            </w:pPr>
            <w:r>
              <w:rPr>
                <w:b w:val="false"/>
                <w:bCs w:val="false"/>
                <w:sz w:val="19"/>
                <w:szCs w:val="19"/>
              </w:rPr>
              <w:t xml:space="preserve">32</w:t>
            </w:r>
          </w:p>
        </w:tc>
        <w:tc>
          <w:tcPr>
            <w:tcW w:type="dxa" w:w="2400"/>
            <w:vAlign w:val="center"/>
          </w:tcPr>
          <w:p>
            <w:pPr>
              <w:jc w:val="center"/>
            </w:pPr>
            <w:r>
              <w:rPr>
                <w:b w:val="false"/>
                <w:bCs w:val="false"/>
                <w:sz w:val="19"/>
                <w:szCs w:val="19"/>
              </w:rPr>
              <w:t xml:space="preserve">solid</w:t>
            </w:r>
          </w:p>
        </w:tc>
        <w:tc>
          <w:tcPr>
            <w:tcW w:type="dxa" w:w="2400"/>
            <w:vAlign w:val="center"/>
          </w:tcPr>
          <w:p>
            <w:pPr>
              <w:jc w:val="center"/>
            </w:pPr>
            <w:r>
              <w:rPr>
                <w:b w:val="false"/>
                <w:bCs w:val="false"/>
                <w:sz w:val="19"/>
                <w:szCs w:val="19"/>
              </w:rPr>
              <w:t xml:space="preserve">846.7</w:t>
            </w:r>
          </w:p>
        </w:tc>
        <w:tc>
          <w:tcPr>
            <w:tcW w:type="dxa" w:w="2400"/>
            <w:vAlign w:val="center"/>
          </w:tcPr>
          <w:p>
            <w:pPr>
              <w:jc w:val="center"/>
            </w:pPr>
            <w:r>
              <w:rPr>
                <w:b w:val="false"/>
                <w:bCs w:val="false"/>
                <w:sz w:val="19"/>
                <w:szCs w:val="19"/>
              </w:rPr>
              <w:t xml:space="preserve">0.537</w:t>
            </w:r>
          </w:p>
        </w:tc>
      </w:tr>
      <w:tr>
        <w:tc>
          <w:tcPr>
            <w:tcW w:type="dxa" w:w="2160"/>
            <w:vAlign w:val="center"/>
          </w:tcPr>
          <w:p>
            <w:pPr>
              <w:jc w:val="center"/>
            </w:pPr>
            <w:r>
              <w:rPr>
                <w:b w:val="false"/>
                <w:bCs w:val="false"/>
                <w:sz w:val="19"/>
                <w:szCs w:val="19"/>
              </w:rPr>
              <w:t xml:space="preserve">32</w:t>
            </w:r>
          </w:p>
        </w:tc>
        <w:tc>
          <w:tcPr>
            <w:tcW w:type="dxa" w:w="2400"/>
            <w:vAlign w:val="center"/>
          </w:tcPr>
          <w:p>
            <w:pPr>
              <w:jc w:val="center"/>
            </w:pPr>
            <w:r>
              <w:rPr>
                <w:b w:val="false"/>
                <w:bCs w:val="false"/>
                <w:sz w:val="19"/>
                <w:szCs w:val="19"/>
              </w:rPr>
              <w:t xml:space="preserve">gradient</w:t>
            </w:r>
          </w:p>
        </w:tc>
        <w:tc>
          <w:tcPr>
            <w:tcW w:type="dxa" w:w="2400"/>
            <w:vAlign w:val="center"/>
          </w:tcPr>
          <w:p>
            <w:pPr>
              <w:jc w:val="center"/>
            </w:pPr>
            <w:r>
              <w:rPr>
                <w:b w:val="false"/>
                <w:bCs w:val="false"/>
                <w:sz w:val="19"/>
                <w:szCs w:val="19"/>
              </w:rPr>
              <w:t xml:space="preserve">1410.0</w:t>
            </w:r>
          </w:p>
        </w:tc>
        <w:tc>
          <w:tcPr>
            <w:tcW w:type="dxa" w:w="2400"/>
            <w:vAlign w:val="center"/>
          </w:tcPr>
          <w:p>
            <w:pPr>
              <w:jc w:val="center"/>
            </w:pPr>
            <w:r>
              <w:rPr>
                <w:b w:val="false"/>
                <w:bCs w:val="false"/>
                <w:sz w:val="19"/>
                <w:szCs w:val="19"/>
              </w:rPr>
              <w:t xml:space="preserve">0.412</w:t>
            </w:r>
          </w:p>
        </w:tc>
      </w:tr>
      <w:tr>
        <w:tc>
          <w:tcPr>
            <w:tcW w:type="dxa" w:w="2160"/>
            <w:vAlign w:val="center"/>
          </w:tcPr>
          <w:p>
            <w:pPr>
              <w:jc w:val="center"/>
            </w:pPr>
            <w:r>
              <w:rPr>
                <w:b w:val="false"/>
                <w:bCs w:val="false"/>
                <w:sz w:val="19"/>
                <w:szCs w:val="19"/>
              </w:rPr>
              <w:t xml:space="preserve">32</w:t>
            </w:r>
          </w:p>
        </w:tc>
        <w:tc>
          <w:tcPr>
            <w:tcW w:type="dxa" w:w="2400"/>
            <w:vAlign w:val="center"/>
          </w:tcPr>
          <w:p>
            <w:pPr>
              <w:jc w:val="center"/>
            </w:pPr>
            <w:r>
              <w:rPr>
                <w:b w:val="false"/>
                <w:bCs w:val="false"/>
                <w:sz w:val="19"/>
                <w:szCs w:val="19"/>
              </w:rPr>
              <w:t xml:space="preserve">cross</w:t>
            </w:r>
          </w:p>
        </w:tc>
        <w:tc>
          <w:tcPr>
            <w:tcW w:type="dxa" w:w="2400"/>
            <w:vAlign w:val="center"/>
          </w:tcPr>
          <w:p>
            <w:pPr>
              <w:jc w:val="center"/>
            </w:pPr>
            <w:r>
              <w:rPr>
                <w:b w:val="false"/>
                <w:bCs w:val="false"/>
                <w:sz w:val="19"/>
                <w:szCs w:val="19"/>
              </w:rPr>
              <w:t xml:space="preserve">1618.9</w:t>
            </w:r>
          </w:p>
        </w:tc>
        <w:tc>
          <w:tcPr>
            <w:tcW w:type="dxa" w:w="2400"/>
            <w:vAlign w:val="center"/>
          </w:tcPr>
          <w:p>
            <w:pPr>
              <w:jc w:val="center"/>
            </w:pPr>
            <w:r>
              <w:rPr>
                <w:b w:val="false"/>
                <w:bCs w:val="false"/>
                <w:sz w:val="19"/>
                <w:szCs w:val="19"/>
              </w:rPr>
              <w:t xml:space="preserve">0.290</w:t>
            </w:r>
          </w:p>
        </w:tc>
      </w:tr>
      <w:tr>
        <w:tc>
          <w:tcPr>
            <w:tcW w:type="dxa" w:w="2160"/>
            <w:vAlign w:val="center"/>
          </w:tcPr>
          <w:p>
            <w:pPr>
              <w:jc w:val="center"/>
            </w:pPr>
            <w:r>
              <w:rPr>
                <w:b w:val="false"/>
                <w:bCs w:val="false"/>
                <w:sz w:val="19"/>
                <w:szCs w:val="19"/>
              </w:rPr>
              <w:t xml:space="preserve">64</w:t>
            </w:r>
          </w:p>
        </w:tc>
        <w:tc>
          <w:tcPr>
            <w:tcW w:type="dxa" w:w="2400"/>
            <w:vAlign w:val="center"/>
          </w:tcPr>
          <w:p>
            <w:pPr>
              <w:jc w:val="center"/>
            </w:pPr>
            <w:r>
              <w:rPr>
                <w:b w:val="false"/>
                <w:bCs w:val="false"/>
                <w:sz w:val="19"/>
                <w:szCs w:val="19"/>
              </w:rPr>
              <w:t xml:space="preserve">solid</w:t>
            </w:r>
          </w:p>
        </w:tc>
        <w:tc>
          <w:tcPr>
            <w:tcW w:type="dxa" w:w="2400"/>
            <w:vAlign w:val="center"/>
          </w:tcPr>
          <w:p>
            <w:pPr>
              <w:jc w:val="center"/>
            </w:pPr>
            <w:r>
              <w:rPr>
                <w:b w:val="false"/>
                <w:bCs w:val="false"/>
                <w:sz w:val="19"/>
                <w:szCs w:val="19"/>
              </w:rPr>
              <w:t xml:space="preserve">615.1</w:t>
            </w:r>
          </w:p>
        </w:tc>
        <w:tc>
          <w:tcPr>
            <w:tcW w:type="dxa" w:w="2400"/>
            <w:vAlign w:val="center"/>
          </w:tcPr>
          <w:p>
            <w:pPr>
              <w:jc w:val="center"/>
            </w:pPr>
            <w:r>
              <w:rPr>
                <w:b w:val="false"/>
                <w:bCs w:val="false"/>
                <w:sz w:val="19"/>
                <w:szCs w:val="19"/>
              </w:rPr>
              <w:t xml:space="preserve">0.641</w:t>
            </w:r>
          </w:p>
        </w:tc>
      </w:tr>
      <w:tr>
        <w:tc>
          <w:tcPr>
            <w:tcW w:type="dxa" w:w="2160"/>
            <w:vAlign w:val="center"/>
          </w:tcPr>
          <w:p>
            <w:pPr>
              <w:jc w:val="center"/>
            </w:pPr>
            <w:r>
              <w:rPr>
                <w:b w:val="false"/>
                <w:bCs w:val="false"/>
                <w:sz w:val="19"/>
                <w:szCs w:val="19"/>
              </w:rPr>
              <w:t xml:space="preserve">64</w:t>
            </w:r>
          </w:p>
        </w:tc>
        <w:tc>
          <w:tcPr>
            <w:tcW w:type="dxa" w:w="2400"/>
            <w:vAlign w:val="center"/>
          </w:tcPr>
          <w:p>
            <w:pPr>
              <w:jc w:val="center"/>
            </w:pPr>
            <w:r>
              <w:rPr>
                <w:b w:val="false"/>
                <w:bCs w:val="false"/>
                <w:sz w:val="19"/>
                <w:szCs w:val="19"/>
              </w:rPr>
              <w:t xml:space="preserve">gradient</w:t>
            </w:r>
          </w:p>
        </w:tc>
        <w:tc>
          <w:tcPr>
            <w:tcW w:type="dxa" w:w="2400"/>
            <w:vAlign w:val="center"/>
          </w:tcPr>
          <w:p>
            <w:pPr>
              <w:jc w:val="center"/>
            </w:pPr>
            <w:r>
              <w:rPr>
                <w:b w:val="false"/>
                <w:bCs w:val="false"/>
                <w:sz w:val="19"/>
                <w:szCs w:val="19"/>
              </w:rPr>
              <w:t xml:space="preserve">1192.2</w:t>
            </w:r>
          </w:p>
        </w:tc>
        <w:tc>
          <w:tcPr>
            <w:tcW w:type="dxa" w:w="2400"/>
            <w:vAlign w:val="center"/>
          </w:tcPr>
          <w:p>
            <w:pPr>
              <w:jc w:val="center"/>
            </w:pPr>
            <w:r>
              <w:rPr>
                <w:b w:val="false"/>
                <w:bCs w:val="false"/>
                <w:sz w:val="19"/>
                <w:szCs w:val="19"/>
              </w:rPr>
              <w:t xml:space="preserve">0.468</w:t>
            </w:r>
          </w:p>
        </w:tc>
      </w:tr>
      <w:tr>
        <w:tc>
          <w:tcPr>
            <w:tcW w:type="dxa" w:w="2160"/>
            <w:vAlign w:val="center"/>
          </w:tcPr>
          <w:p>
            <w:pPr>
              <w:jc w:val="center"/>
            </w:pPr>
            <w:r>
              <w:rPr>
                <w:b w:val="false"/>
                <w:bCs w:val="false"/>
                <w:sz w:val="19"/>
                <w:szCs w:val="19"/>
              </w:rPr>
              <w:t xml:space="preserve">64</w:t>
            </w:r>
          </w:p>
        </w:tc>
        <w:tc>
          <w:tcPr>
            <w:tcW w:type="dxa" w:w="2400"/>
            <w:vAlign w:val="center"/>
          </w:tcPr>
          <w:p>
            <w:pPr>
              <w:jc w:val="center"/>
            </w:pPr>
            <w:r>
              <w:rPr>
                <w:b w:val="false"/>
                <w:bCs w:val="false"/>
                <w:sz w:val="19"/>
                <w:szCs w:val="19"/>
              </w:rPr>
              <w:t xml:space="preserve">cross</w:t>
            </w:r>
          </w:p>
        </w:tc>
        <w:tc>
          <w:tcPr>
            <w:tcW w:type="dxa" w:w="2400"/>
            <w:vAlign w:val="center"/>
          </w:tcPr>
          <w:p>
            <w:pPr>
              <w:jc w:val="center"/>
            </w:pPr>
            <w:r>
              <w:rPr>
                <w:b w:val="false"/>
                <w:bCs w:val="false"/>
                <w:sz w:val="19"/>
                <w:szCs w:val="19"/>
              </w:rPr>
              <w:t xml:space="preserve">1399.9</w:t>
            </w:r>
          </w:p>
        </w:tc>
        <w:tc>
          <w:tcPr>
            <w:tcW w:type="dxa" w:w="2400"/>
            <w:vAlign w:val="center"/>
          </w:tcPr>
          <w:p>
            <w:pPr>
              <w:jc w:val="center"/>
            </w:pPr>
            <w:r>
              <w:rPr>
                <w:b w:val="false"/>
                <w:bCs w:val="false"/>
                <w:sz w:val="19"/>
                <w:szCs w:val="19"/>
              </w:rPr>
              <w:t xml:space="preserve">0.334</w:t>
            </w:r>
          </w:p>
        </w:tc>
      </w:tr>
    </w:tbl>
    <w:p>
      <w:pPr>
        <w:spacing w:after="120"/>
      </w:pPr>
      <w:r>
        <w:rPr>
          <w:sz w:val="21"/>
          <w:szCs w:val="21"/>
        </w:rPr>
        <w:t xml:space="preserve">Finer grids reconstruct the source more faithfully: MSE drops and SSIM rises consistently from 16×16 to 64×64 for every tile style, since smaller cells approximate local color more accurately. Tile style matters as much as grid size: solid tiles score best because they render the matched color exactly, while gradient and especially cross tiles intentionally shade or inset part of each cell, trading color fidelity and structural similarity for a more visually distinctive mosaic pattern. This is the expected trade-off between reconstruction accuracy and mosaic creativity, and it costs no extra computation — tile style does not affect grid_time, only which precomputed tile is pasted in.</w:t>
      </w:r>
    </w:p>
    <w:p>
      <w:pPr>
        <w:pStyle w:val="Heading2"/>
        <w:spacing w:after="100" w:before="200"/>
      </w:pPr>
      <w:r>
        <w:t xml:space="preserve">Conclusion</w:t>
      </w:r>
    </w:p>
    <w:p>
      <w:pPr>
        <w:spacing w:after="120"/>
      </w:pPr>
      <w:r>
        <w:rPr>
          <w:sz w:val="21"/>
          <w:szCs w:val="21"/>
        </w:rPr>
        <w:t xml:space="preserve">Vectorizing the grid color computation with NumPy gives a consistent 1.5x-2.3x speedup over a nested-loop implementation, with the gap widening at larger grid sizes, while reconstruction quality (MSE/SSIM) improves with finer grids and is further shaped by the choice of tile style. The full interactive pipeline completes in under 35 ms at 64×64 on the test image, well within the latency budget for a responsive Gradio demo.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3763afea8af2e1a8beceb5d7efc99a0e150c8d.png"/><Relationship Id="rId8" Type="http://schemas.openxmlformats.org/officeDocument/2006/relationships/image" Target="media/24f780c83c8d8bf670dd05fb4c8876d69cdeba7f.png"/><Relationship Id="rId9" Type="http://schemas.openxmlformats.org/officeDocument/2006/relationships/image" Target="media/d4abe5a2c21c714aa2fc8832b6db2c779f46f1c1.png"/><Relationship Id="rId10" Type="http://schemas.openxmlformats.org/officeDocument/2006/relationships/image" Target="media/7ad8acdd2663e6fc6b5876c53fae21b65e6490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2026-09-25T20:41:18.764Z</dcterms:created>
  <dcterms:modified xsi:type="dcterms:W3CDTF">2026-09-25T20:41:18.765Z</dcterms:modified>
</cp:coreProperties>
</file>

<file path=docProps/custom.xml><?xml version="1.0" encoding="utf-8"?>
<Properties xmlns="http://schemas.openxmlformats.org/officeDocument/2006/custom-properties" xmlns:vt="http://schemas.openxmlformats.org/officeDocument/2006/docPropsVTypes"/>
</file>