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Arial"/>
          <w:b/>
          <w:sz w:val="24"/>
        </w:rPr>
        <w:t>KOMUNA E SUHAREKËS</w:t>
      </w:r>
    </w:p>
    <w:p>
      <w:pPr>
        <w:spacing w:after="240" w:before="0"/>
        <w:jc w:val="center"/>
      </w:pPr>
      <w:r>
        <w:rPr>
          <w:rFonts w:ascii="Arial" w:hAnsi="Arial" w:eastAsia="Arial"/>
          <w:b/>
          <w:sz w:val="22"/>
        </w:rPr>
        <w:t>Drejtoria e Arsimit (DKA)</w:t>
      </w:r>
    </w:p>
    <w:p>
      <w:pPr>
        <w:spacing w:after="120" w:before="0"/>
      </w:pPr>
      <w:r>
        <w:rPr>
          <w:rFonts w:ascii="Arial" w:hAnsi="Arial" w:eastAsia="Arial"/>
          <w:b w:val="0"/>
          <w:sz w:val="20"/>
        </w:rPr>
        <w:t>Nr. ______ / ______</w:t>
      </w:r>
    </w:p>
    <w:p>
      <w:pPr>
        <w:spacing w:after="280" w:before="0"/>
      </w:pPr>
      <w:r>
        <w:rPr>
          <w:rFonts w:ascii="Arial" w:hAnsi="Arial" w:eastAsia="Arial"/>
          <w:b w:val="0"/>
          <w:sz w:val="20"/>
        </w:rPr>
        <w:t>Data: ____ / ____ / 202__</w:t>
      </w:r>
    </w:p>
    <w:p>
      <w:pPr>
        <w:spacing w:after="120" w:before="0"/>
      </w:pPr>
      <w:r>
        <w:rPr>
          <w:rFonts w:ascii="Arial" w:hAnsi="Arial" w:eastAsia="Arial"/>
          <w:b/>
          <w:sz w:val="22"/>
        </w:rPr>
        <w:t>Për: Njësia / Departamenti i Prokurimit — Komuna e Suharekës</w:t>
      </w:r>
    </w:p>
    <w:p>
      <w:pPr>
        <w:spacing w:after="240" w:before="0"/>
      </w:pPr>
      <w:r>
        <w:rPr>
          <w:rFonts w:ascii="Arial" w:hAnsi="Arial" w:eastAsia="Arial"/>
          <w:b w:val="0"/>
          <w:sz w:val="20"/>
        </w:rPr>
        <w:t>Cc: Kryetari i Komunës / Zyrtari Kryesor Administrativ (sipas praktikës së brendshme)</w:t>
      </w:r>
    </w:p>
    <w:p>
      <w:pPr>
        <w:spacing w:after="200" w:before="0"/>
      </w:pPr>
      <w:r>
        <w:rPr>
          <w:rFonts w:ascii="Arial" w:hAnsi="Arial" w:eastAsia="Arial"/>
          <w:b/>
          <w:color w:val="0F3A67"/>
          <w:sz w:val="28"/>
        </w:rPr>
        <w:t>LËNDA: Kërkesë për inicimin e aktivitetit të prokurimit — Platformë digjitale për shërbimet e DKA (bursat, aplikimet për punë dhe module të tjera)</w:t>
      </w:r>
    </w:p>
    <w:p>
      <w:pPr>
        <w:spacing w:after="160" w:before="0"/>
      </w:pPr>
      <w:r>
        <w:rPr>
          <w:rFonts w:ascii="Arial" w:hAnsi="Arial" w:eastAsia="Arial"/>
          <w:b w:val="0"/>
          <w:sz w:val="22"/>
        </w:rPr>
        <w:t>I nderuar / e nderuar,</w:t>
      </w:r>
    </w:p>
    <w:p>
      <w:pPr>
        <w:spacing w:after="120" w:before="0"/>
        <w:jc w:val="both"/>
      </w:pPr>
      <w:r>
        <w:rPr>
          <w:rFonts w:ascii="Arial" w:hAnsi="Arial" w:eastAsia="Arial"/>
          <w:b w:val="0"/>
          <w:sz w:val="22"/>
        </w:rPr>
        <w:t>Në cilësinë e Drejtorisë së Arsimit, kërkojmë inicimin e një aktiviteti të prokurimit publik për zhvillimin dhe implementimin e një platforme digjitale që digjitalizon menaxhimin e shërbimeve të DKA, me prioritet: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Menaxhimin e shpalljes së bursave dhe aplikimeve për bursë (procesi i plotë: thirrja, aplikimi, verifikimi, rangimi, lista, ankesat — sipas rregullave të komunës);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Aplikimet për vende pune / thirrjet e stafit arsimor (shpallje, aplikim, evidencë, raportim);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Bazën e përbashkët (përdorues, role, audit, raporte) që mundëson shtimin e moduleve të tjera në të ardhmen.</w:t>
      </w:r>
    </w:p>
    <w:p>
      <w:pPr>
        <w:spacing w:after="200" w:before="0"/>
      </w:pPr>
      <w:r>
        <w:rPr>
          <w:rFonts w:ascii="Arial" w:hAnsi="Arial" w:eastAsia="Arial"/>
          <w:b/>
          <w:color w:val="0F3A67"/>
          <w:sz w:val="28"/>
        </w:rPr>
        <w:t>1. Pse është e nevojshme (problemet që zgjidhen)</w:t>
      </w:r>
    </w:p>
    <w:p>
      <w:pPr>
        <w:spacing w:after="120" w:before="0"/>
        <w:jc w:val="both"/>
      </w:pPr>
      <w:r>
        <w:rPr>
          <w:rFonts w:ascii="Arial" w:hAnsi="Arial" w:eastAsia="Arial"/>
          <w:b w:val="0"/>
          <w:sz w:val="22"/>
        </w:rPr>
        <w:t>Aktualisht, proceset e bursave dhe thirrjeve për punë mbështeten shpesh në dokumente fizike, Excel, email dhe komunikim të shpërndarë. Kjo sjell: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vonesa dhe ngarkesë administrative për stafin e DKA;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rrezik gabimesh dhe dyfishimesh në lista;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vështirësi në gjurmimin e vendimeve (kush bëri çfarë, kur);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mungesë transparence për qytetarët (aplikuesit nuk shohin statusin qartë);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ankesa dhe dyshime që dëmtojnë besimin te institucioni — edhe kur puna është e ndershme.</w:t>
      </w:r>
    </w:p>
    <w:p>
      <w:pPr>
        <w:spacing w:after="200" w:before="0"/>
      </w:pPr>
      <w:r>
        <w:rPr>
          <w:rFonts w:ascii="Arial" w:hAnsi="Arial" w:eastAsia="Arial"/>
          <w:b/>
          <w:color w:val="0F3A67"/>
          <w:sz w:val="28"/>
        </w:rPr>
        <w:t>2. Përfitimet për komunën dhe qytetarët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Transparencë: thirrjet dhe rezultatet publike sipas rregullave;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Barazi e qasjes: aplikim online, afate të qarta, evidencë e dorëzimit;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Efikasitet: më pak letër, më shumë kohë për verifikim cilësor;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Llogaridhënie: gjurmë auditimi për veprimet kryesore;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Imazh modern i komunës dhe i Drejtorisë së Arsimit;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Bazë për digjitalizime të tjera (shkolla, drejtori të tjera) pa rifilluar nga zero.</w:t>
      </w:r>
    </w:p>
    <w:p>
      <w:pPr>
        <w:spacing w:after="200" w:before="0"/>
      </w:pPr>
      <w:r>
        <w:rPr>
          <w:rFonts w:ascii="Arial" w:hAnsi="Arial" w:eastAsia="Arial"/>
          <w:b/>
          <w:color w:val="0F3A67"/>
          <w:sz w:val="28"/>
        </w:rPr>
        <w:t>3. Çfarë kërkohet të prokurohet (përmbledhje)</w:t>
      </w:r>
    </w:p>
    <w:p>
      <w:pPr>
        <w:spacing w:after="120" w:before="0"/>
        <w:jc w:val="both"/>
      </w:pPr>
      <w:r>
        <w:rPr>
          <w:rFonts w:ascii="Arial" w:hAnsi="Arial" w:eastAsia="Arial"/>
          <w:b w:val="0"/>
          <w:sz w:val="22"/>
        </w:rPr>
        <w:t>Shërbime zhvillimi / konfigurimi të softuerit (platformë web), instalim, trajnim i stafit, dokumentim, dhe mirëmbajtje korrektuese për periudhën e garancisë (propozim: 12 muaj). Detajet janë te drafti i Termave të Referencës dhe Paramasës së bashkangjitur.</w:t>
      </w:r>
    </w:p>
    <w:p>
      <w:pPr>
        <w:spacing w:after="200" w:before="0"/>
      </w:pPr>
      <w:r>
        <w:rPr>
          <w:rFonts w:ascii="Arial" w:hAnsi="Arial" w:eastAsia="Arial"/>
          <w:b/>
          <w:color w:val="0F3A67"/>
          <w:sz w:val="28"/>
        </w:rPr>
        <w:t>4. Vlera e parashikuar (orientuese)</w:t>
      </w:r>
    </w:p>
    <w:p>
      <w:pPr>
        <w:spacing w:after="120" w:before="0"/>
        <w:jc w:val="both"/>
      </w:pPr>
      <w:r>
        <w:rPr>
          <w:rFonts w:ascii="Arial" w:hAnsi="Arial" w:eastAsia="Arial"/>
          <w:b w:val="0"/>
          <w:sz w:val="22"/>
        </w:rPr>
        <w:t>Vlera e parashikuar e kontratës: 48.000,00 EUR (me TVSH), sipas parallogarisë së bashkangjitur. Kjo vlerë është e balancuar: mbulon zhvillimin, go-live, trajnimin dhe mirëmbajtjen bazë — pa qenë e fryrë krahasuar me projektet e mëdha komunale të digjitalizimit që përfshijnë hardware dhe dhjetëra shkolla.</w:t>
      </w:r>
    </w:p>
    <w:p>
      <w:pPr>
        <w:spacing w:after="200" w:before="0"/>
      </w:pPr>
      <w:r>
        <w:rPr>
          <w:rFonts w:ascii="Arial" w:hAnsi="Arial" w:eastAsia="Arial"/>
          <w:b/>
          <w:color w:val="0F3A67"/>
          <w:sz w:val="28"/>
        </w:rPr>
        <w:t>5. Kohëzgjatja e synuar</w:t>
      </w:r>
    </w:p>
    <w:p>
      <w:pPr>
        <w:spacing w:after="120" w:before="0"/>
        <w:jc w:val="both"/>
      </w:pPr>
      <w:r>
        <w:rPr>
          <w:rFonts w:ascii="Arial" w:hAnsi="Arial" w:eastAsia="Arial"/>
          <w:b w:val="0"/>
          <w:sz w:val="22"/>
        </w:rPr>
        <w:t>Implementimi i moduleve prioritare: deri në 4–6 muaj nga nënshkrimi i kontratës (afati përfundimtar caktohet në dosjen e tenderit).</w:t>
      </w:r>
    </w:p>
    <w:p>
      <w:pPr>
        <w:spacing w:after="200" w:before="0"/>
      </w:pPr>
      <w:r>
        <w:rPr>
          <w:rFonts w:ascii="Arial" w:hAnsi="Arial" w:eastAsia="Arial"/>
          <w:b/>
          <w:color w:val="0F3A67"/>
          <w:sz w:val="28"/>
        </w:rPr>
        <w:t>6. Bashkëngjitjet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Draft — Termat e Referencës / Specifikimet funksionale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Paramasa / Parallogarí (orientuese)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Përmbledhje 1-faqëshe për vendimmarrës</w:t>
      </w:r>
    </w:p>
    <w:p>
      <w:pPr>
        <w:spacing w:after="320" w:before="0"/>
        <w:jc w:val="both"/>
      </w:pPr>
      <w:r>
        <w:rPr>
          <w:rFonts w:ascii="Arial" w:hAnsi="Arial" w:eastAsia="Arial"/>
          <w:b w:val="0"/>
          <w:sz w:val="22"/>
        </w:rPr>
        <w:t>Ju lutemi të shqyrtoni këtë kërkesë dhe të na udhëzoni për hapat e mëtejshëm (DNPDF, plani i prokurimit, etj.) sipas Ligjit për Prokurimin Publik dhe praktikës së Komunës.</w:t>
      </w:r>
    </w:p>
    <w:p>
      <w:pPr>
        <w:spacing w:after="480" w:before="0"/>
      </w:pPr>
      <w:r>
        <w:rPr>
          <w:rFonts w:ascii="Arial" w:hAnsi="Arial" w:eastAsia="Arial"/>
          <w:b w:val="0"/>
          <w:sz w:val="22"/>
        </w:rPr>
        <w:t>Me respekt,</w:t>
      </w:r>
    </w:p>
    <w:p>
      <w:pPr>
        <w:spacing w:after="40" w:before="0"/>
      </w:pPr>
      <w:r>
        <w:rPr>
          <w:rFonts w:ascii="Arial" w:hAnsi="Arial" w:eastAsia="Arial"/>
          <w:b w:val="0"/>
          <w:sz w:val="22"/>
        </w:rPr>
        <w:t>_______________________________</w:t>
      </w:r>
    </w:p>
    <w:p>
      <w:pPr>
        <w:spacing w:after="40" w:before="0"/>
      </w:pPr>
      <w:r>
        <w:rPr>
          <w:rFonts w:ascii="Arial" w:hAnsi="Arial" w:eastAsia="Arial"/>
          <w:b/>
          <w:sz w:val="22"/>
        </w:rPr>
        <w:t>Drejtori / Drejtoresha e Arsimit</w:t>
      </w:r>
    </w:p>
    <w:p>
      <w:pPr>
        <w:spacing w:after="40" w:before="0"/>
      </w:pPr>
      <w:r>
        <w:rPr>
          <w:rFonts w:ascii="Arial" w:hAnsi="Arial" w:eastAsia="Arial"/>
          <w:b w:val="0"/>
          <w:sz w:val="22"/>
        </w:rPr>
        <w:t>Komuna e Suharekës</w:t>
      </w:r>
    </w:p>
    <w:p>
      <w:pPr>
        <w:spacing w:after="120" w:before="0"/>
      </w:pPr>
      <w:r>
        <w:rPr>
          <w:rFonts w:ascii="Arial" w:hAnsi="Arial" w:eastAsia="Arial"/>
          <w:b w:val="0"/>
          <w:sz w:val="20"/>
        </w:rPr>
        <w:t>Emri: ________________________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