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Arial" w:hAnsi="Arial" w:eastAsia="Arial"/>
          <w:b/>
          <w:caps/>
          <w:color w:val="111111"/>
          <w:sz w:val="17"/>
          <w:spacing w:val="60"/>
        </w:rPr>
        <w:t>LumiLink</w:t>
      </w:r>
    </w:p>
    <w:p>
      <w:pPr>
        <w:spacing w:before="0" w:after="50"/>
      </w:pPr>
      <w:r>
        <w:rPr>
          <w:rFonts w:ascii="Arial" w:hAnsi="Arial" w:eastAsia="Arial"/>
          <w:b/>
          <w:caps w:val="0"/>
          <w:color w:val="111111"/>
          <w:sz w:val="44"/>
        </w:rPr>
        <w:t>AI Concierge: A Talking Avatar on the Website</w:t>
      </w:r>
    </w:p>
    <w:p>
      <w:pPr>
        <w:spacing w:before="0" w:after="160"/>
        <w:pBdr>
          <w:bottom w:val="single" w:color="111111" w:sz="12" w:space="10"/>
        </w:pBdr>
      </w:pPr>
      <w:r>
        <w:rPr>
          <w:rFonts w:ascii="Arial" w:hAnsi="Arial" w:eastAsia="Arial"/>
          <w:b w:val="0"/>
          <w:caps w:val="0"/>
          <w:color w:val="3A3A3A"/>
          <w:sz w:val="21"/>
        </w:rPr>
        <w:t>A virtual budtender that speaks, answers and recommends in any language</w:t>
      </w:r>
    </w:p>
    <w:p>
      <w:pPr>
        <w:spacing w:before="100" w:after="2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Scope Brief, Draft 2  ·  October 15, 2026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217"/>
        <w:gridCol w:w="7862"/>
      </w:tblGrid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ask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website avatar like the reel's virtual budtender: trained on the store, guardrailed, with a set personality and a custom look.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What gets built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LumiLink add-on: our existing ElevenLabs agent (voice, 30+ languages, knowledge base, product lookup) with a licensed avatar face streamed on the site.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Effort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38-54 hours for the LumiLink add-on, then 8-14 to launch it for PACKS; about 2 weeks.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$0.18-0.31 per conversation minute, plus about $99/month for the avatar vendor.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Blocker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not chosen; custom-avatar fee and streaming rates need quotes.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Recommendation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under LumiLink if it will be sold to other clients. For PACKS alone, both paths cost about the same.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Effort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One developer, Claude-assisted. Hours include build and testing.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7459"/>
        <w:gridCol w:w="2620"/>
      </w:tblGrid>
      <w:tr>
        <w:trPr>
          <w:tblHeader w:val="true"/>
          <w:cantSplit w:val="true"/>
        </w:trPr>
        <w:tc>
          <w:tcPr>
            <w:tcW w:type="dxa" w:w="7459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262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bake-off (LiveAvatar vs D-ID) and custom avatar creation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embed: secure session token, avatar player, mic, text fallback, mobile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6-9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Connect the ElevenLabs agent's audio to the avatar's lip sync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 and guardrail profile, plus a red-team test set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knowledge: reuse knowledge base and product lookup, add a recommendation tool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 detection and testing in the top 5 customer languages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Dashboard: avatar and persona settings, kill switch, transcripts, minute caps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4-5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Add-on billing, entitlement and pricing page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concurrency and launch QA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TOTAL, LumiLink add-on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38-54 (excludes vendor wait and legal review)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Basis: </w:t>
      </w:r>
      <w:r>
        <w:rPr>
          <w:rFonts w:ascii="Arial" w:hAnsi="Arial" w:eastAsia="Arial"/>
          <w:b w:val="0"/>
          <w:caps w:val="0"/>
          <w:color w:val="111111"/>
          <w:sz w:val="19"/>
        </w:rPr>
        <w:t>SEO was scoped at 173-210 hours and its code shipped in a week; Outbound phases 1, 2 and 4 took about 3 hours.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Ceiling: </w:t>
      </w:r>
      <w:r>
        <w:rPr>
          <w:rFonts w:ascii="Arial" w:hAnsi="Arial" w:eastAsia="Arial"/>
          <w:b w:val="0"/>
          <w:caps w:val="0"/>
          <w:color w:val="111111"/>
          <w:sz w:val="19"/>
        </w:rPr>
        <w:t>the original estimate was 82-118 hours; budget against it if the mobile embed slips.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Cost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4536"/>
        <w:gridCol w:w="1713"/>
        <w:gridCol w:w="3830"/>
      </w:tblGrid>
      <w:tr>
        <w:trPr>
          <w:tblHeader w:val="true"/>
          <w:cantSplit w:val="true"/>
        </w:trPr>
        <w:tc>
          <w:tcPr>
            <w:tcW w:type="dxa" w:w="453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Line</w:t>
            </w:r>
          </w:p>
        </w:tc>
        <w:tc>
          <w:tcPr>
            <w:tcW w:type="dxa" w:w="171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Type</w:t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agent minutes plus LLM tokens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$0.085-0.125/min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streaming (face only)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$0.09-0.18/min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plan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$99/month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 avatar creation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One-time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quote, not yet known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 per conversation minute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$0.18-0.31 (a 4-minute chat costs $0.70-1.22)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Rules and Risks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Cannabis: </w:t>
      </w:r>
      <w:r>
        <w:rPr>
          <w:rFonts w:ascii="Arial" w:hAnsi="Arial" w:eastAsia="Arial"/>
          <w:b w:val="0"/>
          <w:caps w:val="0"/>
          <w:color w:val="111111"/>
          <w:sz w:val="19"/>
        </w:rPr>
        <w:t>no medical or effect claims, a 21+ gate before the avatar talks, counsel review before launch.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California: </w:t>
      </w:r>
      <w:r>
        <w:rPr>
          <w:rFonts w:ascii="Arial" w:hAnsi="Arial" w:eastAsia="Arial"/>
          <w:b w:val="0"/>
          <w:caps w:val="0"/>
          <w:color w:val="111111"/>
          <w:sz w:val="19"/>
        </w:rPr>
        <w:t>disclose recording (two-party consent) and that the shopper is talking to an AI.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Health data: </w:t>
      </w:r>
      <w:r>
        <w:rPr>
          <w:rFonts w:ascii="Arial" w:hAnsi="Arial" w:eastAsia="Arial"/>
          <w:b w:val="0"/>
          <w:caps w:val="0"/>
          <w:color w:val="111111"/>
          <w:sz w:val="19"/>
        </w:rPr>
        <w:t>shoppers will describe conditions; transcripts need retention limits and a privacy notice.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Cost runaway: </w:t>
      </w:r>
      <w:r>
        <w:rPr>
          <w:rFonts w:ascii="Arial" w:hAnsi="Arial" w:eastAsia="Arial"/>
          <w:b w:val="0"/>
          <w:caps w:val="0"/>
          <w:color w:val="111111"/>
          <w:sz w:val="19"/>
        </w:rPr>
        <w:t>video costs double voice per minute; per-client minute caps ship day one.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PACKS: On LumiLink or In-House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The same budtender, built two ways, assuming one developer builds either. Detail: the PACKS In-House Build scope.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016"/>
        <w:gridCol w:w="3830"/>
        <w:gridCol w:w="4233"/>
      </w:tblGrid>
      <w:tr>
        <w:trPr>
          <w:tblHeader w:val="true"/>
          <w:cantSplit w:val="true"/>
        </w:trPr>
        <w:tc>
          <w:tcPr>
            <w:tcW w:type="dxa" w:w="201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On the LumiLink stack</w:t>
            </w:r>
          </w:p>
        </w:tc>
        <w:tc>
          <w:tcPr>
            <w:tcW w:type="dxa" w:w="423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Built in-house at PACKS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Total build hours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46-68: add-on 38-54, PACKS launch 8-14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48-69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Monthly upkeep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hrs; shared only once other clients join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Same usage plus a LumiLink add-on fee, not set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Same usage plus about $120-205/month in plans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Customer data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transcripts sit in LumiLink's systems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Stays with PACKS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Owner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LumiLink; PACKS sets persona, look and menu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PACKS's one developer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Comes out ahead when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 sells it to other clients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is the only user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Next Steps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Leadership: </w:t>
      </w:r>
      <w:r>
        <w:rPr>
          <w:rFonts w:ascii="Arial" w:hAnsi="Arial" w:eastAsia="Arial"/>
          <w:b w:val="0"/>
          <w:caps w:val="0"/>
          <w:color w:val="111111"/>
          <w:sz w:val="19"/>
        </w:rPr>
        <w:t>decide whether LumiLink will sell this to other clients; that decides the path.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LumiLink dev: </w:t>
      </w:r>
      <w:r>
        <w:rPr>
          <w:rFonts w:ascii="Arial" w:hAnsi="Arial" w:eastAsia="Arial"/>
          <w:b w:val="0"/>
          <w:caps w:val="0"/>
          <w:color w:val="111111"/>
          <w:sz w:val="19"/>
        </w:rPr>
        <w:t>run the vendor bake-off and get custom-avatar and streaming quotes.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PACKS: </w:t>
      </w:r>
      <w:r>
        <w:rPr>
          <w:rFonts w:ascii="Arial" w:hAnsi="Arial" w:eastAsia="Arial"/>
          <w:b w:val="0"/>
          <w:caps w:val="0"/>
          <w:color w:val="111111"/>
          <w:sz w:val="19"/>
        </w:rPr>
        <w:t>choose the avatar's look and name; confirm the AIQ Dispense API reads all four stores.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Counsel: </w:t>
      </w:r>
      <w:r>
        <w:rPr>
          <w:rFonts w:ascii="Arial" w:hAnsi="Arial" w:eastAsia="Arial"/>
          <w:b w:val="0"/>
          <w:caps w:val="0"/>
          <w:color w:val="111111"/>
          <w:sz w:val="19"/>
        </w:rPr>
        <w:t>review the cannabis guardrail script before PACKS goes live.</w:t>
      </w:r>
    </w:p>
    <w:p>
      <w:pPr>
        <w:spacing w:before="200" w:after="120"/>
        <w:spacing w:line="264" w:lineRule="auto"/>
      </w:pPr>
      <w:r>
        <w:rPr>
          <w:rFonts w:ascii="Arial" w:hAnsi="Arial" w:eastAsia="Arial"/>
          <w:b w:val="0"/>
          <w:caps w:val="0"/>
          <w:color w:val="6A6A6A"/>
          <w:sz w:val="15"/>
        </w:rPr>
        <w:t>Sources: LumiLink codebase and git history; Akapulu avatar price index, LiveAvatar, D-ID docs, Macha ElevenLabs pricing; AIQ Dispense Blueprint API. Accessed October 14, 2026. Avatar prices are published ranges, not quotes; re-check before committing a budget.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64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aps w:val="0"/>
        <w:color w:val="9A9A9A"/>
        <w:sz w:val="15"/>
      </w:rPr>
      <w:t xml:space="preserve">October 15, 2026        </w:t>
    </w:r>
    <w:r>
      <w:rPr>
        <w:rFonts w:ascii="Arial" w:hAnsi="Arial" w:eastAsia="Arial"/>
        <w:b w:val="0"/>
        <w:caps w:val="0"/>
        <w:color w:val="7A7A7A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pBdr>
        <w:bottom w:val="single" w:color="D0D0D0" w:sz="4" w:space="4"/>
      </w:pBdr>
    </w:pPr>
    <w:r>
      <w:rPr>
        <w:rFonts w:ascii="Arial" w:hAnsi="Arial" w:eastAsia="Arial"/>
        <w:b w:val="0"/>
        <w:caps w:val="0"/>
        <w:color w:val="7A7A7A"/>
        <w:sz w:val="15"/>
        <w:spacing w:val="30"/>
      </w:rPr>
      <w:t>LUMILINK  ·  AI CONCIERGE 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