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/>
      </w:pPr>
      <w:r>
        <w:rPr>
          <w:rFonts w:ascii="Arial" w:hAnsi="Arial" w:eastAsia="Arial"/>
          <w:b/>
          <w:caps/>
          <w:color w:val="111111"/>
          <w:sz w:val="17"/>
          <w:spacing w:val="60"/>
        </w:rPr>
        <w:t>PACKS</w:t>
      </w:r>
    </w:p>
    <w:p>
      <w:pPr>
        <w:spacing w:before="0" w:after="50"/>
      </w:pPr>
      <w:r>
        <w:rPr>
          <w:rFonts w:ascii="Arial" w:hAnsi="Arial" w:eastAsia="Arial"/>
          <w:b/>
          <w:caps w:val="0"/>
          <w:color w:val="111111"/>
          <w:sz w:val="44"/>
        </w:rPr>
        <w:t>AI Budtender: Building a New Stack In-House</w:t>
      </w:r>
    </w:p>
    <w:p>
      <w:pPr>
        <w:spacing w:before="0" w:after="160"/>
        <w:pBdr>
          <w:bottom w:val="single" w:color="111111" w:sz="12" w:space="10"/>
        </w:pBdr>
      </w:pPr>
      <w:r>
        <w:rPr>
          <w:rFonts w:ascii="Arial" w:hAnsi="Arial" w:eastAsia="Arial"/>
          <w:b w:val="0"/>
          <w:caps w:val="0"/>
          <w:color w:val="3A3A3A"/>
          <w:sz w:val="21"/>
        </w:rPr>
        <w:t>What it takes for PACKS to build, run and maintain its own talking budtender</w:t>
      </w:r>
    </w:p>
    <w:p>
      <w:pPr>
        <w:spacing w:before="100" w:after="2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Scope Brief, Draft 1  ·  October 15, 2026  ·  Companion to the LumiLink AI Concierge scope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Summary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2217"/>
        <w:gridCol w:w="7862"/>
      </w:tblGrid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The ask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The reel's virtual budtender on packsclub.com, built and owned by PACKS instead of LumiLink.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What gets built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PACKS's own ElevenLabs agent with a licensed avatar face, a Cloudflare Worker backend, and live per-store stock from AIQ Dispense.</w:t>
            </w:r>
          </w:p>
        </w:tc>
      </w:tr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Effort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48-69 hours from one developer, about 3 weeks.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Running cost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About $0.18-0.31 per conversation minute plus about $120-205/month in plans.</w:t>
            </w:r>
          </w:p>
        </w:tc>
      </w:tr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Upkeep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4-8 hours a month, carried by PACKS's one developer.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The call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About the same effort as the LumiLink route (46-68 hours in all). LumiLink comes out ahead only if other clients share the upkeep.</w:t>
            </w:r>
          </w:p>
        </w:tc>
      </w:tr>
    </w:tbl>
    <w:p>
      <w:pPr>
        <w:spacing w:before="0" w:after="80"/>
      </w:pP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Effort</w:t>
      </w:r>
    </w:p>
    <w:p>
      <w:pPr>
        <w:keepNext/>
        <w:spacing w:before="0" w:after="1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One developer, Claude-assisted. Hours include build and testing. Reasons per row are in the appendix.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7257"/>
        <w:gridCol w:w="2822"/>
      </w:tblGrid>
      <w:tr>
        <w:trPr>
          <w:tblHeader w:val="true"/>
          <w:cantSplit w:val="true"/>
        </w:trPr>
        <w:tc>
          <w:tcPr>
            <w:tcW w:type="dxa" w:w="7257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Module</w:t>
            </w:r>
          </w:p>
        </w:tc>
        <w:tc>
          <w:tcPr>
            <w:tcW w:type="dxa" w:w="2822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Hrs</w:t>
            </w:r>
          </w:p>
        </w:tc>
      </w:tr>
      <w:tr>
        <w:trPr>
          <w:cantSplit w:val="true"/>
        </w:trPr>
        <w:tc>
          <w:tcPr>
            <w:tcW w:type="dxa" w:w="725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Accounts and setup</w:t>
            </w:r>
          </w:p>
        </w:tc>
        <w:tc>
          <w:tcPr>
            <w:tcW w:type="dxa" w:w="282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2-3</w:t>
            </w:r>
          </w:p>
        </w:tc>
      </w:tr>
      <w:tr>
        <w:trPr>
          <w:cantSplit w:val="true"/>
        </w:trPr>
        <w:tc>
          <w:tcPr>
            <w:tcW w:type="dxa" w:w="725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bake-off and custom avatar</w:t>
            </w:r>
          </w:p>
        </w:tc>
        <w:tc>
          <w:tcPr>
            <w:tcW w:type="dxa" w:w="282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6-8</w:t>
            </w:r>
          </w:p>
        </w:tc>
      </w:tr>
      <w:tr>
        <w:trPr>
          <w:cantSplit w:val="true"/>
        </w:trPr>
        <w:tc>
          <w:tcPr>
            <w:tcW w:type="dxa" w:w="725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Session token server</w:t>
            </w:r>
          </w:p>
        </w:tc>
        <w:tc>
          <w:tcPr>
            <w:tcW w:type="dxa" w:w="282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4-6</w:t>
            </w:r>
          </w:p>
        </w:tc>
      </w:tr>
      <w:tr>
        <w:trPr>
          <w:cantSplit w:val="true"/>
        </w:trPr>
        <w:tc>
          <w:tcPr>
            <w:tcW w:type="dxa" w:w="725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Website embed (Shopify theme)</w:t>
            </w:r>
          </w:p>
        </w:tc>
        <w:tc>
          <w:tcPr>
            <w:tcW w:type="dxa" w:w="282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7-10</w:t>
            </w:r>
          </w:p>
        </w:tc>
      </w:tr>
      <w:tr>
        <w:trPr>
          <w:cantSplit w:val="true"/>
        </w:trPr>
        <w:tc>
          <w:tcPr>
            <w:tcW w:type="dxa" w:w="725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Lip sync to the agent's audio</w:t>
            </w:r>
          </w:p>
        </w:tc>
        <w:tc>
          <w:tcPr>
            <w:tcW w:type="dxa" w:w="282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3-4</w:t>
            </w:r>
          </w:p>
        </w:tc>
      </w:tr>
      <w:tr>
        <w:trPr>
          <w:cantSplit w:val="true"/>
        </w:trPr>
        <w:tc>
          <w:tcPr>
            <w:tcW w:type="dxa" w:w="725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Persona, guardrails, red-team set</w:t>
            </w:r>
          </w:p>
        </w:tc>
        <w:tc>
          <w:tcPr>
            <w:tcW w:type="dxa" w:w="282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10-14</w:t>
            </w:r>
          </w:p>
        </w:tc>
      </w:tr>
      <w:tr>
        <w:trPr>
          <w:cantSplit w:val="true"/>
        </w:trPr>
        <w:tc>
          <w:tcPr>
            <w:tcW w:type="dxa" w:w="725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Store knowledge</w:t>
            </w:r>
          </w:p>
        </w:tc>
        <w:tc>
          <w:tcPr>
            <w:tcW w:type="dxa" w:w="282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2-3</w:t>
            </w:r>
          </w:p>
        </w:tc>
      </w:tr>
      <w:tr>
        <w:trPr>
          <w:cantSplit w:val="true"/>
        </w:trPr>
        <w:tc>
          <w:tcPr>
            <w:tcW w:type="dxa" w:w="725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Menu tool (AIQ Dispense)</w:t>
            </w:r>
          </w:p>
        </w:tc>
        <w:tc>
          <w:tcPr>
            <w:tcW w:type="dxa" w:w="282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2-4</w:t>
            </w:r>
          </w:p>
        </w:tc>
      </w:tr>
      <w:tr>
        <w:trPr>
          <w:cantSplit w:val="true"/>
        </w:trPr>
        <w:tc>
          <w:tcPr>
            <w:tcW w:type="dxa" w:w="725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Transcripts, kill switch, usage report</w:t>
            </w:r>
          </w:p>
        </w:tc>
        <w:tc>
          <w:tcPr>
            <w:tcW w:type="dxa" w:w="282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4-6</w:t>
            </w:r>
          </w:p>
        </w:tc>
      </w:tr>
      <w:tr>
        <w:trPr>
          <w:cantSplit w:val="true"/>
        </w:trPr>
        <w:tc>
          <w:tcPr>
            <w:tcW w:type="dxa" w:w="725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Languages</w:t>
            </w:r>
          </w:p>
        </w:tc>
        <w:tc>
          <w:tcPr>
            <w:tcW w:type="dxa" w:w="282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3-4</w:t>
            </w:r>
          </w:p>
        </w:tc>
      </w:tr>
      <w:tr>
        <w:trPr>
          <w:cantSplit w:val="true"/>
        </w:trPr>
        <w:tc>
          <w:tcPr>
            <w:tcW w:type="dxa" w:w="725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Load, real-phone testing, launch QA</w:t>
            </w:r>
          </w:p>
        </w:tc>
        <w:tc>
          <w:tcPr>
            <w:tcW w:type="dxa" w:w="282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5-7</w:t>
            </w:r>
          </w:p>
        </w:tc>
      </w:tr>
      <w:tr>
        <w:trPr>
          <w:cantSplit w:val="true"/>
        </w:trPr>
        <w:tc>
          <w:tcPr>
            <w:tcW w:type="dxa" w:w="725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TOTAL</w:t>
            </w:r>
          </w:p>
        </w:tc>
        <w:tc>
          <w:tcPr>
            <w:tcW w:type="dxa" w:w="282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48-69 (excludes vendor wait and legal review)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Calendar: </w:t>
      </w:r>
      <w:r>
        <w:rPr>
          <w:rFonts w:ascii="Arial" w:hAnsi="Arial" w:eastAsia="Arial"/>
          <w:b w:val="0"/>
          <w:caps w:val="0"/>
          <w:color w:val="111111"/>
          <w:sz w:val="19"/>
        </w:rPr>
        <w:t>about 3 weeks next to other work; a stock-avatar demo in week one. The custom avatar and counsel review set launch.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Ceiling: </w:t>
      </w:r>
      <w:r>
        <w:rPr>
          <w:rFonts w:ascii="Arial" w:hAnsi="Arial" w:eastAsia="Arial"/>
          <w:b w:val="0"/>
          <w:caps w:val="0"/>
          <w:color w:val="111111"/>
          <w:sz w:val="19"/>
        </w:rPr>
        <w:t>about 85-125 hours if the mobile Safari embed slips.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What in-house skips: </w:t>
      </w:r>
      <w:r>
        <w:rPr>
          <w:rFonts w:ascii="Arial" w:hAnsi="Arial" w:eastAsia="Arial"/>
          <w:b w:val="0"/>
          <w:caps w:val="0"/>
          <w:color w:val="111111"/>
          <w:sz w:val="19"/>
        </w:rPr>
        <w:t>the multi-client dashboard, billing and the add-on fee.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Cost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4536"/>
        <w:gridCol w:w="1713"/>
        <w:gridCol w:w="3830"/>
      </w:tblGrid>
      <w:tr>
        <w:trPr>
          <w:tblHeader w:val="true"/>
          <w:cantSplit w:val="true"/>
        </w:trPr>
        <w:tc>
          <w:tcPr>
            <w:tcW w:type="dxa" w:w="4536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Line</w:t>
            </w:r>
          </w:p>
        </w:tc>
        <w:tc>
          <w:tcPr>
            <w:tcW w:type="dxa" w:w="1713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Type</w:t>
            </w:r>
          </w:p>
        </w:tc>
        <w:tc>
          <w:tcPr>
            <w:tcW w:type="dxa" w:w="383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Amount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Voice agent minutes and LLM tokens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Variable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$0.085-0.125/min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streaming (face only)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Variable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$0.09-0.18/min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vendor plan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Recurring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About $99/month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ElevenLabs plan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Recurring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$22-99/month by tier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Cloudflare Workers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Recurring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$0-5/month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Custom PACKS avatar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One-time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Vendor quote, not yet known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Example: 1,000 four-minute chats a month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$720-1,240 plus about $120-205 in plans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Not counted here: </w:t>
      </w:r>
      <w:r>
        <w:rPr>
          <w:rFonts w:ascii="Arial" w:hAnsi="Arial" w:eastAsia="Arial"/>
          <w:b w:val="0"/>
          <w:caps w:val="0"/>
          <w:color w:val="111111"/>
          <w:sz w:val="19"/>
        </w:rPr>
        <w:t>internal build hours, monthly upkeep hours, counsel's review.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Rules and Risks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One developer: </w:t>
      </w:r>
      <w:r>
        <w:rPr>
          <w:rFonts w:ascii="Arial" w:hAnsi="Arial" w:eastAsia="Arial"/>
          <w:b w:val="0"/>
          <w:caps w:val="0"/>
          <w:color w:val="111111"/>
          <w:sz w:val="19"/>
        </w:rPr>
        <w:t>if that person is out, nobody fixes an outage or a guardrail slip; the same holds on LumiLink if one developer runs it.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California: </w:t>
      </w:r>
      <w:r>
        <w:rPr>
          <w:rFonts w:ascii="Arial" w:hAnsi="Arial" w:eastAsia="Arial"/>
          <w:b w:val="0"/>
          <w:caps w:val="0"/>
          <w:color w:val="111111"/>
          <w:sz w:val="19"/>
        </w:rPr>
        <w:t>no medical or effect claims, 21+ gate, recording and AI disclosure; counsel reviews.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Open to the public: </w:t>
      </w:r>
      <w:r>
        <w:rPr>
          <w:rFonts w:ascii="Arial" w:hAnsi="Arial" w:eastAsia="Arial"/>
          <w:b w:val="0"/>
          <w:caps w:val="0"/>
          <w:color w:val="111111"/>
          <w:sz w:val="19"/>
        </w:rPr>
        <w:t>no login, so minute caps and rate limits ship on day one.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Menu platform: </w:t>
      </w:r>
      <w:r>
        <w:rPr>
          <w:rFonts w:ascii="Arial" w:hAnsi="Arial" w:eastAsia="Arial"/>
          <w:b w:val="0"/>
          <w:caps w:val="0"/>
          <w:color w:val="111111"/>
          <w:sz w:val="19"/>
        </w:rPr>
        <w:t>built on AIQ Dispense; the Flowhub swap costs 4-6 more hours.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Next Steps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Leadership: </w:t>
      </w:r>
      <w:r>
        <w:rPr>
          <w:rFonts w:ascii="Arial" w:hAnsi="Arial" w:eastAsia="Arial"/>
          <w:b w:val="0"/>
          <w:caps w:val="0"/>
          <w:color w:val="111111"/>
          <w:sz w:val="19"/>
        </w:rPr>
        <w:t>compare this with the LumiLink scope and pick a path.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PACKS brand: </w:t>
      </w:r>
      <w:r>
        <w:rPr>
          <w:rFonts w:ascii="Arial" w:hAnsi="Arial" w:eastAsia="Arial"/>
          <w:b w:val="0"/>
          <w:caps w:val="0"/>
          <w:color w:val="111111"/>
          <w:sz w:val="19"/>
        </w:rPr>
        <w:t>the avatar's look, name, personality and languages.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Developer: </w:t>
      </w:r>
      <w:r>
        <w:rPr>
          <w:rFonts w:ascii="Arial" w:hAnsi="Arial" w:eastAsia="Arial"/>
          <w:b w:val="0"/>
          <w:caps w:val="0"/>
          <w:color w:val="111111"/>
          <w:sz w:val="19"/>
        </w:rPr>
        <w:t>confirm the Dispense proxy Worker is deployed; get avatar vendor quotes.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Counsel: </w:t>
      </w:r>
      <w:r>
        <w:rPr>
          <w:rFonts w:ascii="Arial" w:hAnsi="Arial" w:eastAsia="Arial"/>
          <w:b w:val="0"/>
          <w:caps w:val="0"/>
          <w:color w:val="111111"/>
          <w:sz w:val="19"/>
        </w:rPr>
        <w:t>review the guardrail script and disclosures before launch.</w:t>
      </w:r>
    </w:p>
    <w:p>
      <w:pPr>
        <w:spacing w:before="200" w:after="120"/>
        <w:spacing w:line="264" w:lineRule="auto"/>
      </w:pPr>
      <w:r>
        <w:rPr>
          <w:rFonts w:ascii="Arial" w:hAnsi="Arial" w:eastAsia="Arial"/>
          <w:b w:val="0"/>
          <w:caps w:val="0"/>
          <w:color w:val="6A6A6A"/>
          <w:sz w:val="15"/>
        </w:rPr>
        <w:t>Sources: PACKS theme and Dispense proxy Worker; AIQ Dispense Blueprint API; LumiLink codebase and build history; Akapulu avatar price index, LiveAvatar, D-ID docs, ElevenLabs and Cloudflare pricing pages. Accessed October 14, 2026. Prices are published ranges, not quotes; re-check before committing a budget.</w:t>
      </w:r>
    </w:p>
    <w:p>
      <w:r>
        <w:br w:type="page"/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Appendix: The Detail</w:t>
      </w:r>
    </w:p>
    <w:p>
      <w:pPr>
        <w:keepNext/>
        <w:spacing w:before="200" w:after="60"/>
      </w:pPr>
      <w:r>
        <w:rPr>
          <w:rFonts w:ascii="Arial" w:hAnsi="Arial" w:eastAsia="Arial"/>
          <w:b/>
          <w:caps w:val="0"/>
          <w:color w:val="111111"/>
          <w:sz w:val="20"/>
          <w:spacing w:val="12"/>
        </w:rPr>
        <w:t>Hours, row by row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2419"/>
        <w:gridCol w:w="907"/>
        <w:gridCol w:w="6753"/>
      </w:tblGrid>
      <w:tr>
        <w:trPr>
          <w:tblHeader w:val="true"/>
          <w:cantSplit w:val="true"/>
        </w:trPr>
        <w:tc>
          <w:tcPr>
            <w:tcW w:type="dxa" w:w="2419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Module</w:t>
            </w:r>
          </w:p>
        </w:tc>
        <w:tc>
          <w:tcPr>
            <w:tcW w:type="dxa" w:w="907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Hrs</w:t>
            </w:r>
          </w:p>
        </w:tc>
        <w:tc>
          <w:tcPr>
            <w:tcW w:type="dxa" w:w="6753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Why</w:t>
            </w:r>
          </w:p>
        </w:tc>
      </w:tr>
      <w:tr>
        <w:trPr>
          <w:cantSplit w:val="true"/>
        </w:trPr>
        <w:tc>
          <w:tcPr>
            <w:tcW w:type="dxa" w:w="241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Accounts and setup</w:t>
            </w:r>
          </w:p>
        </w:tc>
        <w:tc>
          <w:tcPr>
            <w:tcW w:type="dxa" w:w="90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2-3</w:t>
            </w:r>
          </w:p>
        </w:tc>
        <w:tc>
          <w:tcPr>
            <w:tcW w:type="dxa" w:w="675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PACKS's own ElevenLabs workspace, private agent, avatar vendor account, secrets.</w:t>
            </w:r>
          </w:p>
        </w:tc>
      </w:tr>
      <w:tr>
        <w:trPr>
          <w:cantSplit w:val="true"/>
        </w:trPr>
        <w:tc>
          <w:tcPr>
            <w:tcW w:type="dxa" w:w="241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bake-off and custom avatar</w:t>
            </w:r>
          </w:p>
        </w:tc>
        <w:tc>
          <w:tcPr>
            <w:tcW w:type="dxa" w:w="90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6-8</w:t>
            </w:r>
          </w:p>
        </w:tc>
        <w:tc>
          <w:tcPr>
            <w:tcW w:type="dxa" w:w="675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LiveAvatar vs D-ID on latency, lip sync, voice; vendor turnaround on the custom look.</w:t>
            </w:r>
          </w:p>
        </w:tc>
      </w:tr>
      <w:tr>
        <w:trPr>
          <w:cantSplit w:val="true"/>
        </w:trPr>
        <w:tc>
          <w:tcPr>
            <w:tcW w:type="dxa" w:w="241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Session token server</w:t>
            </w:r>
          </w:p>
        </w:tc>
        <w:tc>
          <w:tcPr>
            <w:tcW w:type="dxa" w:w="90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4-6</w:t>
            </w:r>
          </w:p>
        </w:tc>
        <w:tc>
          <w:tcPr>
            <w:tcW w:type="dxa" w:w="675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Cloudflare Worker mints short-lived tokens; origin allowlist, rate limit, daily minute cap.</w:t>
            </w:r>
          </w:p>
        </w:tc>
      </w:tr>
      <w:tr>
        <w:trPr>
          <w:cantSplit w:val="true"/>
        </w:trPr>
        <w:tc>
          <w:tcPr>
            <w:tcW w:type="dxa" w:w="241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Website embed (Shopify theme)</w:t>
            </w:r>
          </w:p>
        </w:tc>
        <w:tc>
          <w:tcPr>
            <w:tcW w:type="dxa" w:w="90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7-10</w:t>
            </w:r>
          </w:p>
        </w:tc>
        <w:tc>
          <w:tcPr>
            <w:tcW w:type="dxa" w:w="675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Player, mic permission, text fallback, 21+ gate, store context. Mobile Safari is the risk.</w:t>
            </w:r>
          </w:p>
        </w:tc>
      </w:tr>
      <w:tr>
        <w:trPr>
          <w:cantSplit w:val="true"/>
        </w:trPr>
        <w:tc>
          <w:tcPr>
            <w:tcW w:type="dxa" w:w="241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Lip sync to the agent's audio</w:t>
            </w:r>
          </w:p>
        </w:tc>
        <w:tc>
          <w:tcPr>
            <w:tcW w:type="dxa" w:w="90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3-4</w:t>
            </w:r>
          </w:p>
        </w:tc>
        <w:tc>
          <w:tcPr>
            <w:tcW w:type="dxa" w:w="675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D-ID has a native ElevenLabs path; LiveAvatar LITE takes our audio stream.</w:t>
            </w:r>
          </w:p>
        </w:tc>
      </w:tr>
      <w:tr>
        <w:trPr>
          <w:cantSplit w:val="true"/>
        </w:trPr>
        <w:tc>
          <w:tcPr>
            <w:tcW w:type="dxa" w:w="241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Persona, guardrails, red-team set</w:t>
            </w:r>
          </w:p>
        </w:tc>
        <w:tc>
          <w:tcPr>
            <w:tcW w:type="dxa" w:w="90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10-14</w:t>
            </w:r>
          </w:p>
        </w:tc>
        <w:tc>
          <w:tcPr>
            <w:tcW w:type="dxa" w:w="675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Cannabis and California rules written from scratch; human review of the red-team run.</w:t>
            </w:r>
          </w:p>
        </w:tc>
      </w:tr>
      <w:tr>
        <w:trPr>
          <w:cantSplit w:val="true"/>
        </w:trPr>
        <w:tc>
          <w:tcPr>
            <w:tcW w:type="dxa" w:w="241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Store knowledge</w:t>
            </w:r>
          </w:p>
        </w:tc>
        <w:tc>
          <w:tcPr>
            <w:tcW w:type="dxa" w:w="90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2-3</w:t>
            </w:r>
          </w:p>
        </w:tc>
        <w:tc>
          <w:tcPr>
            <w:tcW w:type="dxa" w:w="675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ElevenLabs' built-in knowledge base: FAQs, policies, hours, loyalty rules.</w:t>
            </w:r>
          </w:p>
        </w:tc>
      </w:tr>
      <w:tr>
        <w:trPr>
          <w:cantSplit w:val="true"/>
        </w:trPr>
        <w:tc>
          <w:tcPr>
            <w:tcW w:type="dxa" w:w="241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Menu tool (AIQ Dispense)</w:t>
            </w:r>
          </w:p>
        </w:tc>
        <w:tc>
          <w:tcPr>
            <w:tcW w:type="dxa" w:w="90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2-4</w:t>
            </w:r>
          </w:p>
        </w:tc>
        <w:tc>
          <w:tcPr>
            <w:tcW w:type="dxa" w:w="675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Extends PACKS's existing Dispense proxy Worker; returns stock and deals per store.</w:t>
            </w:r>
          </w:p>
        </w:tc>
      </w:tr>
      <w:tr>
        <w:trPr>
          <w:cantSplit w:val="true"/>
        </w:trPr>
        <w:tc>
          <w:tcPr>
            <w:tcW w:type="dxa" w:w="241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Transcripts, kill switch, usage report</w:t>
            </w:r>
          </w:p>
        </w:tc>
        <w:tc>
          <w:tcPr>
            <w:tcW w:type="dxa" w:w="90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4-6</w:t>
            </w:r>
          </w:p>
        </w:tc>
        <w:tc>
          <w:tcPr>
            <w:tcW w:type="dxa" w:w="675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No dashboard to reuse: pull transcripts, a Worker on/off flag, a weekly minutes report.</w:t>
            </w:r>
          </w:p>
        </w:tc>
      </w:tr>
      <w:tr>
        <w:trPr>
          <w:cantSplit w:val="true"/>
        </w:trPr>
        <w:tc>
          <w:tcPr>
            <w:tcW w:type="dxa" w:w="241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Languages</w:t>
            </w:r>
          </w:p>
        </w:tc>
        <w:tc>
          <w:tcPr>
            <w:tcW w:type="dxa" w:w="90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3-4</w:t>
            </w:r>
          </w:p>
        </w:tc>
        <w:tc>
          <w:tcPr>
            <w:tcW w:type="dxa" w:w="675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Config is quick; testing English, Spanish and 3 more with native speakers is not.</w:t>
            </w:r>
          </w:p>
        </w:tc>
      </w:tr>
      <w:tr>
        <w:trPr>
          <w:cantSplit w:val="true"/>
        </w:trPr>
        <w:tc>
          <w:tcPr>
            <w:tcW w:type="dxa" w:w="241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Load, real-phone testing, launch QA</w:t>
            </w:r>
          </w:p>
        </w:tc>
        <w:tc>
          <w:tcPr>
            <w:tcW w:type="dxa" w:w="90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5-7</w:t>
            </w:r>
          </w:p>
        </w:tc>
        <w:tc>
          <w:tcPr>
            <w:tcW w:type="dxa" w:w="675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Concurrency limits per vendor plan; iPhone and Android on cellular.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Arial" w:hAnsi="Arial" w:eastAsia="Arial"/>
          <w:b/>
          <w:caps w:val="0"/>
          <w:color w:val="111111"/>
          <w:sz w:val="20"/>
          <w:spacing w:val="12"/>
        </w:rPr>
        <w:t>The stack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1310"/>
        <w:gridCol w:w="2016"/>
        <w:gridCol w:w="3931"/>
        <w:gridCol w:w="2822"/>
      </w:tblGrid>
      <w:tr>
        <w:trPr>
          <w:tblHeader w:val="true"/>
          <w:cantSplit w:val="true"/>
        </w:trPr>
        <w:tc>
          <w:tcPr>
            <w:tcW w:type="dxa" w:w="131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Layer</w:t>
            </w:r>
          </w:p>
        </w:tc>
        <w:tc>
          <w:tcPr>
            <w:tcW w:type="dxa" w:w="2016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Choice</w:t>
            </w:r>
          </w:p>
        </w:tc>
        <w:tc>
          <w:tcPr>
            <w:tcW w:type="dxa" w:w="3931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Why</w:t>
            </w:r>
          </w:p>
        </w:tc>
        <w:tc>
          <w:tcPr>
            <w:tcW w:type="dxa" w:w="2822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Alternative</w:t>
            </w:r>
          </w:p>
        </w:tc>
      </w:tr>
      <w:tr>
        <w:trPr>
          <w:cantSplit w:val="true"/>
        </w:trPr>
        <w:tc>
          <w:tcPr>
            <w:tcW w:type="dxa" w:w="131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Brain and voice</w:t>
            </w:r>
          </w:p>
        </w:tc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ElevenLabs Agents</w:t>
            </w:r>
          </w:p>
        </w:tc>
        <w:tc>
          <w:tcPr>
            <w:tcW w:type="dxa" w:w="393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30+ languages, tool calls, built-in knowledge base</w:t>
            </w:r>
          </w:p>
        </w:tc>
        <w:tc>
          <w:tcPr>
            <w:tcW w:type="dxa" w:w="282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Anam full stack: cheaper per minute, less guardrail control</w:t>
            </w:r>
          </w:p>
        </w:tc>
      </w:tr>
      <w:tr>
        <w:trPr>
          <w:cantSplit w:val="true"/>
        </w:trPr>
        <w:tc>
          <w:tcPr>
            <w:tcW w:type="dxa" w:w="131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Face</w:t>
            </w:r>
          </w:p>
        </w:tc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LiveAvatar LITE or D-ID</w:t>
            </w:r>
          </w:p>
        </w:tc>
        <w:tc>
          <w:tcPr>
            <w:tcW w:type="dxa" w:w="3931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Face only, so the guardrails stay in our agent</w:t>
            </w:r>
          </w:p>
        </w:tc>
        <w:tc>
          <w:tcPr>
            <w:tcW w:type="dxa" w:w="282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Tavus: priciest</w:t>
            </w:r>
          </w:p>
        </w:tc>
      </w:tr>
      <w:tr>
        <w:trPr>
          <w:cantSplit w:val="true"/>
        </w:trPr>
        <w:tc>
          <w:tcPr>
            <w:tcW w:type="dxa" w:w="131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Backend</w:t>
            </w:r>
          </w:p>
        </w:tc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Cloudflare Worker</w:t>
            </w:r>
          </w:p>
        </w:tc>
        <w:tc>
          <w:tcPr>
            <w:tcW w:type="dxa" w:w="393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PACKS already runs Workers for AIQ and Dispense</w:t>
            </w:r>
          </w:p>
        </w:tc>
        <w:tc>
          <w:tcPr>
            <w:tcW w:type="dxa" w:w="282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 Node server: more upkeep</w:t>
            </w:r>
          </w:p>
        </w:tc>
      </w:tr>
      <w:tr>
        <w:trPr>
          <w:cantSplit w:val="true"/>
        </w:trPr>
        <w:tc>
          <w:tcPr>
            <w:tcW w:type="dxa" w:w="131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Menu</w:t>
            </w:r>
          </w:p>
        </w:tc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AIQ Dispense API</w:t>
            </w:r>
          </w:p>
        </w:tc>
        <w:tc>
          <w:tcPr>
            <w:tcW w:type="dxa" w:w="3931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Live today; the proxy Worker already exists</w:t>
            </w:r>
          </w:p>
        </w:tc>
        <w:tc>
          <w:tcPr>
            <w:tcW w:type="dxa" w:w="282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Flowhub Ecomm, once built</w:t>
            </w:r>
          </w:p>
        </w:tc>
      </w:tr>
      <w:tr>
        <w:trPr>
          <w:cantSplit w:val="true"/>
        </w:trPr>
        <w:tc>
          <w:tcPr>
            <w:tcW w:type="dxa" w:w="131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Site</w:t>
            </w:r>
          </w:p>
        </w:tc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Shopify theme section</w:t>
            </w:r>
          </w:p>
        </w:tc>
        <w:tc>
          <w:tcPr>
            <w:tcW w:type="dxa" w:w="393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Where packsclub.com lives now</w:t>
            </w:r>
          </w:p>
        </w:tc>
        <w:tc>
          <w:tcPr>
            <w:tcW w:type="dxa" w:w="282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Next.js site, after migration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Arial" w:hAnsi="Arial" w:eastAsia="Arial"/>
          <w:b/>
          <w:caps w:val="0"/>
          <w:color w:val="111111"/>
          <w:sz w:val="20"/>
          <w:spacing w:val="12"/>
        </w:rPr>
        <w:t>Monthly upkeep, 4-8 hours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8064"/>
        <w:gridCol w:w="2016"/>
      </w:tblGrid>
      <w:tr>
        <w:trPr>
          <w:tblHeader w:val="true"/>
          <w:cantSplit w:val="true"/>
        </w:trPr>
        <w:tc>
          <w:tcPr>
            <w:tcW w:type="dxa" w:w="8064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Task</w:t>
            </w:r>
          </w:p>
        </w:tc>
        <w:tc>
          <w:tcPr>
            <w:tcW w:type="dxa" w:w="2016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Hrs/month</w:t>
            </w:r>
          </w:p>
        </w:tc>
      </w:tr>
      <w:tr>
        <w:trPr>
          <w:cantSplit w:val="true"/>
        </w:trPr>
        <w:tc>
          <w:tcPr>
            <w:tcW w:type="dxa" w:w="8064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Vendor SDK, API and model changes</w:t>
            </w:r>
          </w:p>
        </w:tc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1-2</w:t>
            </w:r>
          </w:p>
        </w:tc>
      </w:tr>
      <w:tr>
        <w:trPr>
          <w:cantSplit w:val="true"/>
        </w:trPr>
        <w:tc>
          <w:tcPr>
            <w:tcW w:type="dxa" w:w="8064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Prompt and guardrail tuning from transcripts</w:t>
            </w:r>
          </w:p>
        </w:tc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1-2</w:t>
            </w:r>
          </w:p>
        </w:tc>
      </w:tr>
      <w:tr>
        <w:trPr>
          <w:cantSplit w:val="true"/>
        </w:trPr>
        <w:tc>
          <w:tcPr>
            <w:tcW w:type="dxa" w:w="8064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Compliance spot-check of transcripts</w:t>
            </w:r>
          </w:p>
        </w:tc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1-2</w:t>
            </w:r>
          </w:p>
        </w:tc>
      </w:tr>
      <w:tr>
        <w:trPr>
          <w:cantSplit w:val="true"/>
        </w:trPr>
        <w:tc>
          <w:tcPr>
            <w:tcW w:type="dxa" w:w="8064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Menu feed breakages, store and deal updates</w:t>
            </w:r>
          </w:p>
        </w:tc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0.5-1</w:t>
            </w:r>
          </w:p>
        </w:tc>
      </w:tr>
      <w:tr>
        <w:trPr>
          <w:cantSplit w:val="true"/>
        </w:trPr>
        <w:tc>
          <w:tcPr>
            <w:tcW w:type="dxa" w:w="8064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Usage, caps and cost monitoring</w:t>
            </w:r>
          </w:p>
        </w:tc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0.5-1</w:t>
            </w:r>
          </w:p>
        </w:tc>
      </w:tr>
      <w:tr>
        <w:trPr>
          <w:cantSplit w:val="true"/>
        </w:trPr>
        <w:tc>
          <w:tcPr>
            <w:tcW w:type="dxa" w:w="8064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TOTAL</w:t>
            </w:r>
          </w:p>
        </w:tc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4-8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On LumiLink: </w:t>
      </w:r>
      <w:r>
        <w:rPr>
          <w:rFonts w:ascii="Arial" w:hAnsi="Arial" w:eastAsia="Arial"/>
          <w:b w:val="0"/>
          <w:caps w:val="0"/>
          <w:color w:val="111111"/>
          <w:sz w:val="19"/>
        </w:rPr>
        <w:t>the first, fourth and fifth rows are shared once other clients join; until then the same hours land on LumiLink.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640" w:footer="6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caps w:val="0"/>
        <w:color w:val="9A9A9A"/>
        <w:sz w:val="15"/>
      </w:rPr>
      <w:t xml:space="preserve">October 15, 2026        </w:t>
    </w:r>
    <w:r>
      <w:rPr>
        <w:rFonts w:ascii="Arial" w:hAnsi="Arial" w:eastAsia="Arial"/>
        <w:b w:val="0"/>
        <w:caps w:val="0"/>
        <w:color w:val="7A7A7A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20"/>
      <w:pBdr>
        <w:bottom w:val="single" w:color="D0D0D0" w:sz="4" w:space="4"/>
      </w:pBdr>
    </w:pPr>
    <w:r>
      <w:rPr>
        <w:rFonts w:ascii="Arial" w:hAnsi="Arial" w:eastAsia="Arial"/>
        <w:b w:val="0"/>
        <w:caps w:val="0"/>
        <w:color w:val="7A7A7A"/>
        <w:sz w:val="15"/>
        <w:spacing w:val="30"/>
      </w:rPr>
      <w:t>PACKS  ·  AI BUDTENDER  ·  IN-HOUSE BUILD SCOPE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