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" w:after="40"/>
      </w:pPr>
      <w:r>
        <w:rPr>
          <w:rFonts w:ascii="Arial" w:hAnsi="Arial" w:eastAsia="Arial"/>
          <w:b/>
          <w:caps/>
          <w:color w:val="111111"/>
          <w:sz w:val="17"/>
          <w:spacing w:val="60"/>
        </w:rPr>
        <w:t>LumiLink</w:t>
      </w:r>
    </w:p>
    <w:p>
      <w:pPr>
        <w:spacing w:before="0" w:after="50"/>
      </w:pPr>
      <w:r>
        <w:rPr>
          <w:rFonts w:ascii="Arial" w:hAnsi="Arial" w:eastAsia="Arial"/>
          <w:b/>
          <w:caps w:val="0"/>
          <w:color w:val="111111"/>
          <w:sz w:val="44"/>
        </w:rPr>
        <w:t>AI Concierge: A Talking Avatar on the Website</w:t>
      </w:r>
    </w:p>
    <w:p>
      <w:pPr>
        <w:spacing w:before="0" w:after="160"/>
        <w:pBdr>
          <w:bottom w:val="single" w:color="111111" w:sz="12" w:space="10"/>
        </w:pBdr>
      </w:pPr>
      <w:r>
        <w:rPr>
          <w:rFonts w:ascii="Arial" w:hAnsi="Arial" w:eastAsia="Arial"/>
          <w:b w:val="0"/>
          <w:caps w:val="0"/>
          <w:color w:val="3A3A3A"/>
          <w:sz w:val="21"/>
        </w:rPr>
        <w:t>A virtual budtender that speaks, answers and recommends in any language</w:t>
      </w:r>
    </w:p>
    <w:p>
      <w:pPr>
        <w:spacing w:before="100" w:after="200"/>
        <w:spacing w:line="264" w:lineRule="auto"/>
      </w:pPr>
      <w:r>
        <w:rPr>
          <w:rFonts w:ascii="Arial" w:hAnsi="Arial" w:eastAsia="Arial"/>
          <w:b w:val="0"/>
          <w:caps w:val="0"/>
          <w:color w:val="5A5A5A"/>
          <w:sz w:val="17"/>
        </w:rPr>
        <w:t>Scope Brief, Draft 2  ·  October 15, 2026</w:t>
      </w:r>
    </w:p>
    <w:p>
      <w:pPr>
        <w:spacing w:before="360" w:after="100"/>
        <w:keepNext/>
        <w:pBdr>
          <w:bottom w:val="single" w:color="111111" w:sz="12" w:space="6"/>
        </w:pBdr>
      </w:pPr>
      <w:r>
        <w:rPr>
          <w:rFonts w:ascii="Arial" w:hAnsi="Arial" w:eastAsia="Arial"/>
          <w:b/>
          <w:caps/>
          <w:color w:val="111111"/>
          <w:sz w:val="24"/>
          <w:spacing w:val="30"/>
        </w:rPr>
        <w:t>Summary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  <w:tblW w:type="dxa" w:w="10080"/>
        <w:tblBorders>
          <w:top w:val="single" w:color="BFBFBF" w:sz="6"/>
          <w:bottom w:val="single" w:color="BFBFBF" w:sz="6"/>
          <w:insideH w:val="single" w:color="BFBFBF" w:sz="4"/>
          <w:left w:val="none" w:color="FFFFFF" w:sz="0"/>
          <w:right w:val="none" w:color="FFFFFF" w:sz="0"/>
          <w:insideV w:val="none" w:color="FFFFFF" w:sz="0"/>
        </w:tblBorders>
      </w:tblPr>
      <w:tblGrid>
        <w:gridCol w:w="2217"/>
        <w:gridCol w:w="7862"/>
      </w:tblGrid>
      <w:tr>
        <w:trPr>
          <w:cantSplit w:val="true"/>
        </w:trPr>
        <w:tc>
          <w:tcPr>
            <w:tcW w:type="dxa" w:w="2217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before="20" w:after="20"/>
              <w:spacing w:line="264" w:lineRule="auto"/>
            </w:pPr>
            <w:r>
              <w:rPr>
                <w:rFonts w:ascii="Arial" w:hAnsi="Arial" w:eastAsia="Arial"/>
                <w:b/>
                <w:caps w:val="0"/>
                <w:color w:val="111111"/>
                <w:sz w:val="17"/>
              </w:rPr>
              <w:t>The ask</w:t>
            </w:r>
          </w:p>
        </w:tc>
        <w:tc>
          <w:tcPr>
            <w:tcW w:type="dxa" w:w="7862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before="20" w:after="20"/>
              <w:spacing w:line="264" w:lineRule="auto"/>
            </w:pPr>
            <w:r>
              <w:rPr>
                <w:rFonts w:ascii="Arial" w:hAnsi="Arial" w:eastAsia="Arial"/>
                <w:b w:val="0"/>
                <w:caps w:val="0"/>
                <w:color w:val="111111"/>
                <w:sz w:val="17"/>
              </w:rPr>
              <w:t>A talking AI budtender on the website: trained on the store, guardrailed, a set personality and a realistic custom look.</w:t>
            </w:r>
          </w:p>
        </w:tc>
      </w:tr>
      <w:tr>
        <w:trPr>
          <w:cantSplit w:val="true"/>
        </w:trPr>
        <w:tc>
          <w:tcPr>
            <w:tcW w:type="dxa" w:w="2217"/>
            <w:shd w:val="clear" w:color="auto" w:fill="F2F2F2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before="20" w:after="20"/>
              <w:spacing w:line="264" w:lineRule="auto"/>
            </w:pPr>
            <w:r>
              <w:rPr>
                <w:rFonts w:ascii="Arial" w:hAnsi="Arial" w:eastAsia="Arial"/>
                <w:b/>
                <w:caps w:val="0"/>
                <w:color w:val="111111"/>
                <w:sz w:val="17"/>
              </w:rPr>
              <w:t>What gets built</w:t>
            </w:r>
          </w:p>
        </w:tc>
        <w:tc>
          <w:tcPr>
            <w:tcW w:type="dxa" w:w="7862"/>
            <w:shd w:val="clear" w:color="auto" w:fill="F2F2F2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before="20" w:after="20"/>
              <w:spacing w:line="264" w:lineRule="auto"/>
            </w:pPr>
            <w:r>
              <w:rPr>
                <w:rFonts w:ascii="Arial" w:hAnsi="Arial" w:eastAsia="Arial"/>
                <w:b w:val="0"/>
                <w:caps w:val="0"/>
                <w:color w:val="111111"/>
                <w:sz w:val="17"/>
              </w:rPr>
              <w:t>A LumiLink add-on: our existing ElevenLabs agent (voice, 30+ languages, knowledge base, product lookup) shown as a realistic AI human, streamed live by an avatar provider.</w:t>
            </w:r>
          </w:p>
        </w:tc>
      </w:tr>
      <w:tr>
        <w:trPr>
          <w:cantSplit w:val="true"/>
        </w:trPr>
        <w:tc>
          <w:tcPr>
            <w:tcW w:type="dxa" w:w="2217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before="20" w:after="20"/>
              <w:spacing w:line="264" w:lineRule="auto"/>
            </w:pPr>
            <w:r>
              <w:rPr>
                <w:rFonts w:ascii="Arial" w:hAnsi="Arial" w:eastAsia="Arial"/>
                <w:b/>
                <w:caps w:val="0"/>
                <w:color w:val="111111"/>
                <w:sz w:val="17"/>
              </w:rPr>
              <w:t>Effort</w:t>
            </w:r>
          </w:p>
        </w:tc>
        <w:tc>
          <w:tcPr>
            <w:tcW w:type="dxa" w:w="7862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before="20" w:after="20"/>
              <w:spacing w:line="264" w:lineRule="auto"/>
            </w:pPr>
            <w:r>
              <w:rPr>
                <w:rFonts w:ascii="Arial" w:hAnsi="Arial" w:eastAsia="Arial"/>
                <w:b w:val="0"/>
                <w:caps w:val="0"/>
                <w:color w:val="111111"/>
                <w:sz w:val="17"/>
              </w:rPr>
              <w:t>38-54 hours for the LumiLink add-on, then 8-14 to launch it for PACKS; about 2 weeks.</w:t>
            </w:r>
          </w:p>
        </w:tc>
      </w:tr>
      <w:tr>
        <w:trPr>
          <w:cantSplit w:val="true"/>
        </w:trPr>
        <w:tc>
          <w:tcPr>
            <w:tcW w:type="dxa" w:w="2217"/>
            <w:shd w:val="clear" w:color="auto" w:fill="F2F2F2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before="20" w:after="20"/>
              <w:spacing w:line="264" w:lineRule="auto"/>
            </w:pPr>
            <w:r>
              <w:rPr>
                <w:rFonts w:ascii="Arial" w:hAnsi="Arial" w:eastAsia="Arial"/>
                <w:b/>
                <w:caps w:val="0"/>
                <w:color w:val="111111"/>
                <w:sz w:val="17"/>
              </w:rPr>
              <w:t>Running cost</w:t>
            </w:r>
          </w:p>
        </w:tc>
        <w:tc>
          <w:tcPr>
            <w:tcW w:type="dxa" w:w="7862"/>
            <w:shd w:val="clear" w:color="auto" w:fill="F2F2F2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before="20" w:after="20"/>
              <w:spacing w:line="264" w:lineRule="auto"/>
            </w:pPr>
            <w:r>
              <w:rPr>
                <w:rFonts w:ascii="Arial" w:hAnsi="Arial" w:eastAsia="Arial"/>
                <w:b w:val="0"/>
                <w:caps w:val="0"/>
                <w:color w:val="111111"/>
                <w:sz w:val="17"/>
              </w:rPr>
              <w:t>About $0.18-0.31 per conversation minute, plus about $99/month for the avatar provider.</w:t>
            </w:r>
          </w:p>
        </w:tc>
      </w:tr>
      <w:tr>
        <w:trPr>
          <w:cantSplit w:val="true"/>
        </w:trPr>
        <w:tc>
          <w:tcPr>
            <w:tcW w:type="dxa" w:w="2217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before="20" w:after="20"/>
              <w:spacing w:line="264" w:lineRule="auto"/>
            </w:pPr>
            <w:r>
              <w:rPr>
                <w:rFonts w:ascii="Arial" w:hAnsi="Arial" w:eastAsia="Arial"/>
                <w:b/>
                <w:caps w:val="0"/>
                <w:color w:val="111111"/>
                <w:sz w:val="17"/>
              </w:rPr>
              <w:t>Blocker</w:t>
            </w:r>
          </w:p>
        </w:tc>
        <w:tc>
          <w:tcPr>
            <w:tcW w:type="dxa" w:w="7862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before="20" w:after="20"/>
              <w:spacing w:line="264" w:lineRule="auto"/>
            </w:pPr>
            <w:r>
              <w:rPr>
                <w:rFonts w:ascii="Arial" w:hAnsi="Arial" w:eastAsia="Arial"/>
                <w:b w:val="0"/>
                <w:caps w:val="0"/>
                <w:color w:val="111111"/>
                <w:sz w:val="17"/>
              </w:rPr>
              <w:t>Avatar provider not chosen; custom-avatar fee and streaming rates need quotes.</w:t>
            </w:r>
          </w:p>
        </w:tc>
      </w:tr>
      <w:tr>
        <w:trPr>
          <w:cantSplit w:val="true"/>
        </w:trPr>
        <w:tc>
          <w:tcPr>
            <w:tcW w:type="dxa" w:w="2217"/>
            <w:shd w:val="clear" w:color="auto" w:fill="F2F2F2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before="20" w:after="20"/>
              <w:spacing w:line="264" w:lineRule="auto"/>
            </w:pPr>
            <w:r>
              <w:rPr>
                <w:rFonts w:ascii="Arial" w:hAnsi="Arial" w:eastAsia="Arial"/>
                <w:b/>
                <w:caps w:val="0"/>
                <w:color w:val="111111"/>
                <w:sz w:val="17"/>
              </w:rPr>
              <w:t>Recommendation</w:t>
            </w:r>
          </w:p>
        </w:tc>
        <w:tc>
          <w:tcPr>
            <w:tcW w:type="dxa" w:w="7862"/>
            <w:shd w:val="clear" w:color="auto" w:fill="F2F2F2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before="20" w:after="20"/>
              <w:spacing w:line="264" w:lineRule="auto"/>
            </w:pPr>
            <w:r>
              <w:rPr>
                <w:rFonts w:ascii="Arial" w:hAnsi="Arial" w:eastAsia="Arial"/>
                <w:b w:val="0"/>
                <w:caps w:val="0"/>
                <w:color w:val="111111"/>
                <w:sz w:val="17"/>
              </w:rPr>
              <w:t>Build under LumiLink if it will be sold to other clients. For PACKS alone, both paths cost about the same.</w:t>
            </w:r>
          </w:p>
        </w:tc>
      </w:tr>
    </w:tbl>
    <w:p>
      <w:pPr>
        <w:spacing w:before="0" w:after="80"/>
      </w:pPr>
    </w:p>
    <w:p>
      <w:pPr>
        <w:spacing w:before="360" w:after="100"/>
        <w:keepNext/>
        <w:pBdr>
          <w:bottom w:val="single" w:color="111111" w:sz="12" w:space="6"/>
        </w:pBdr>
      </w:pPr>
      <w:r>
        <w:rPr>
          <w:rFonts w:ascii="Arial" w:hAnsi="Arial" w:eastAsia="Arial"/>
          <w:b/>
          <w:caps/>
          <w:color w:val="111111"/>
          <w:sz w:val="24"/>
          <w:spacing w:val="30"/>
        </w:rPr>
        <w:t>Effort</w:t>
      </w:r>
    </w:p>
    <w:p>
      <w:pPr>
        <w:keepNext/>
        <w:spacing w:before="0" w:after="100"/>
        <w:spacing w:line="264" w:lineRule="auto"/>
      </w:pPr>
      <w:r>
        <w:rPr>
          <w:rFonts w:ascii="Arial" w:hAnsi="Arial" w:eastAsia="Arial"/>
          <w:b w:val="0"/>
          <w:caps w:val="0"/>
          <w:color w:val="5A5A5A"/>
          <w:sz w:val="17"/>
        </w:rPr>
        <w:t>One developer, Claude-assisted. Hours include build and testing.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  <w:tblW w:type="dxa" w:w="10080"/>
        <w:tblBorders>
          <w:top w:val="single" w:color="BFBFBF" w:sz="6"/>
          <w:bottom w:val="single" w:color="BFBFBF" w:sz="6"/>
          <w:insideH w:val="single" w:color="BFBFBF" w:sz="4"/>
          <w:left w:val="none" w:color="FFFFFF" w:sz="0"/>
          <w:right w:val="none" w:color="FFFFFF" w:sz="0"/>
          <w:insideV w:val="none" w:color="FFFFFF" w:sz="0"/>
        </w:tblBorders>
      </w:tblPr>
      <w:tblGrid>
        <w:gridCol w:w="7459"/>
        <w:gridCol w:w="2620"/>
      </w:tblGrid>
      <w:tr>
        <w:trPr>
          <w:tblHeader w:val="true"/>
          <w:cantSplit w:val="true"/>
        </w:trPr>
        <w:tc>
          <w:tcPr>
            <w:tcW w:type="dxa" w:w="7459"/>
            <w:shd w:val="clear" w:color="auto" w:fill="111111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/>
              <w:spacing w:before="20" w:after="20"/>
              <w:spacing w:line="264" w:lineRule="auto"/>
            </w:pPr>
            <w:r>
              <w:rPr>
                <w:rFonts w:ascii="Arial" w:hAnsi="Arial" w:eastAsia="Arial"/>
                <w:b/>
                <w:caps/>
                <w:color w:val="FFFFFF"/>
                <w:sz w:val="17"/>
                <w:spacing w:val="16"/>
              </w:rPr>
              <w:t>Module</w:t>
            </w:r>
          </w:p>
        </w:tc>
        <w:tc>
          <w:tcPr>
            <w:tcW w:type="dxa" w:w="2620"/>
            <w:shd w:val="clear" w:color="auto" w:fill="111111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/>
              <w:spacing w:before="20" w:after="20"/>
              <w:spacing w:line="264" w:lineRule="auto"/>
            </w:pPr>
            <w:r>
              <w:rPr>
                <w:rFonts w:ascii="Arial" w:hAnsi="Arial" w:eastAsia="Arial"/>
                <w:b/>
                <w:caps/>
                <w:color w:val="FFFFFF"/>
                <w:sz w:val="17"/>
                <w:spacing w:val="16"/>
              </w:rPr>
              <w:t>Hrs</w:t>
            </w:r>
          </w:p>
        </w:tc>
      </w:tr>
      <w:tr>
        <w:trPr>
          <w:cantSplit w:val="true"/>
        </w:trPr>
        <w:tc>
          <w:tcPr>
            <w:tcW w:type="dxa" w:w="7459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/>
              <w:spacing w:before="20" w:after="20"/>
              <w:spacing w:line="264" w:lineRule="auto"/>
            </w:pPr>
            <w:r>
              <w:rPr>
                <w:rFonts w:ascii="Arial" w:hAnsi="Arial" w:eastAsia="Arial"/>
                <w:b w:val="0"/>
                <w:caps w:val="0"/>
                <w:color w:val="111111"/>
                <w:sz w:val="17"/>
              </w:rPr>
              <w:t>Avatar provider bake-off (LiveAvatar vs D-ID) and custom AI human</w:t>
            </w:r>
          </w:p>
        </w:tc>
        <w:tc>
          <w:tcPr>
            <w:tcW w:type="dxa" w:w="262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/>
              <w:spacing w:before="20" w:after="20"/>
              <w:spacing w:line="264" w:lineRule="auto"/>
            </w:pPr>
            <w:r>
              <w:rPr>
                <w:rFonts w:ascii="Arial" w:hAnsi="Arial" w:eastAsia="Arial"/>
                <w:b w:val="0"/>
                <w:caps w:val="0"/>
                <w:color w:val="111111"/>
                <w:sz w:val="17"/>
              </w:rPr>
              <w:t>6-8</w:t>
            </w:r>
          </w:p>
        </w:tc>
      </w:tr>
      <w:tr>
        <w:trPr>
          <w:cantSplit w:val="true"/>
        </w:trPr>
        <w:tc>
          <w:tcPr>
            <w:tcW w:type="dxa" w:w="7459"/>
            <w:shd w:val="clear" w:color="auto" w:fill="F2F2F2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/>
              <w:spacing w:before="20" w:after="20"/>
              <w:spacing w:line="264" w:lineRule="auto"/>
            </w:pPr>
            <w:r>
              <w:rPr>
                <w:rFonts w:ascii="Arial" w:hAnsi="Arial" w:eastAsia="Arial"/>
                <w:b w:val="0"/>
                <w:caps w:val="0"/>
                <w:color w:val="111111"/>
                <w:sz w:val="17"/>
              </w:rPr>
              <w:t>Website embed: secure session token, avatar player, mic, text fallback, mobile</w:t>
            </w:r>
          </w:p>
        </w:tc>
        <w:tc>
          <w:tcPr>
            <w:tcW w:type="dxa" w:w="2620"/>
            <w:shd w:val="clear" w:color="auto" w:fill="F2F2F2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/>
              <w:spacing w:before="20" w:after="20"/>
              <w:spacing w:line="264" w:lineRule="auto"/>
            </w:pPr>
            <w:r>
              <w:rPr>
                <w:rFonts w:ascii="Arial" w:hAnsi="Arial" w:eastAsia="Arial"/>
                <w:b w:val="0"/>
                <w:caps w:val="0"/>
                <w:color w:val="111111"/>
                <w:sz w:val="17"/>
              </w:rPr>
              <w:t>6-9</w:t>
            </w:r>
          </w:p>
        </w:tc>
      </w:tr>
      <w:tr>
        <w:trPr>
          <w:cantSplit w:val="true"/>
        </w:trPr>
        <w:tc>
          <w:tcPr>
            <w:tcW w:type="dxa" w:w="7459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/>
              <w:spacing w:before="20" w:after="20"/>
              <w:spacing w:line="264" w:lineRule="auto"/>
            </w:pPr>
            <w:r>
              <w:rPr>
                <w:rFonts w:ascii="Arial" w:hAnsi="Arial" w:eastAsia="Arial"/>
                <w:b w:val="0"/>
                <w:caps w:val="0"/>
                <w:color w:val="111111"/>
                <w:sz w:val="17"/>
              </w:rPr>
              <w:t>Connect the ElevenLabs agent's audio to the avatar's lip sync</w:t>
            </w:r>
          </w:p>
        </w:tc>
        <w:tc>
          <w:tcPr>
            <w:tcW w:type="dxa" w:w="262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/>
              <w:spacing w:before="20" w:after="20"/>
              <w:spacing w:line="264" w:lineRule="auto"/>
            </w:pPr>
            <w:r>
              <w:rPr>
                <w:rFonts w:ascii="Arial" w:hAnsi="Arial" w:eastAsia="Arial"/>
                <w:b w:val="0"/>
                <w:caps w:val="0"/>
                <w:color w:val="111111"/>
                <w:sz w:val="17"/>
              </w:rPr>
              <w:t>3-4</w:t>
            </w:r>
          </w:p>
        </w:tc>
      </w:tr>
      <w:tr>
        <w:trPr>
          <w:cantSplit w:val="true"/>
        </w:trPr>
        <w:tc>
          <w:tcPr>
            <w:tcW w:type="dxa" w:w="7459"/>
            <w:shd w:val="clear" w:color="auto" w:fill="F2F2F2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/>
              <w:spacing w:before="20" w:after="20"/>
              <w:spacing w:line="264" w:lineRule="auto"/>
            </w:pPr>
            <w:r>
              <w:rPr>
                <w:rFonts w:ascii="Arial" w:hAnsi="Arial" w:eastAsia="Arial"/>
                <w:b w:val="0"/>
                <w:caps w:val="0"/>
                <w:color w:val="111111"/>
                <w:sz w:val="17"/>
              </w:rPr>
              <w:t>Persona and guardrail profile, plus a red-team test set</w:t>
            </w:r>
          </w:p>
        </w:tc>
        <w:tc>
          <w:tcPr>
            <w:tcW w:type="dxa" w:w="2620"/>
            <w:shd w:val="clear" w:color="auto" w:fill="F2F2F2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/>
              <w:spacing w:before="20" w:after="20"/>
              <w:spacing w:line="264" w:lineRule="auto"/>
            </w:pPr>
            <w:r>
              <w:rPr>
                <w:rFonts w:ascii="Arial" w:hAnsi="Arial" w:eastAsia="Arial"/>
                <w:b w:val="0"/>
                <w:caps w:val="0"/>
                <w:color w:val="111111"/>
                <w:sz w:val="17"/>
              </w:rPr>
              <w:t>7-10</w:t>
            </w:r>
          </w:p>
        </w:tc>
      </w:tr>
      <w:tr>
        <w:trPr>
          <w:cantSplit w:val="true"/>
        </w:trPr>
        <w:tc>
          <w:tcPr>
            <w:tcW w:type="dxa" w:w="7459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/>
              <w:spacing w:before="20" w:after="20"/>
              <w:spacing w:line="264" w:lineRule="auto"/>
            </w:pPr>
            <w:r>
              <w:rPr>
                <w:rFonts w:ascii="Arial" w:hAnsi="Arial" w:eastAsia="Arial"/>
                <w:b w:val="0"/>
                <w:caps w:val="0"/>
                <w:color w:val="111111"/>
                <w:sz w:val="17"/>
              </w:rPr>
              <w:t>Store knowledge: reuse knowledge base and product lookup, add a recommendation tool</w:t>
            </w:r>
          </w:p>
        </w:tc>
        <w:tc>
          <w:tcPr>
            <w:tcW w:type="dxa" w:w="262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/>
              <w:spacing w:before="20" w:after="20"/>
              <w:spacing w:line="264" w:lineRule="auto"/>
            </w:pPr>
            <w:r>
              <w:rPr>
                <w:rFonts w:ascii="Arial" w:hAnsi="Arial" w:eastAsia="Arial"/>
                <w:b w:val="0"/>
                <w:caps w:val="0"/>
                <w:color w:val="111111"/>
                <w:sz w:val="17"/>
              </w:rPr>
              <w:t>2-4</w:t>
            </w:r>
          </w:p>
        </w:tc>
      </w:tr>
      <w:tr>
        <w:trPr>
          <w:cantSplit w:val="true"/>
        </w:trPr>
        <w:tc>
          <w:tcPr>
            <w:tcW w:type="dxa" w:w="7459"/>
            <w:shd w:val="clear" w:color="auto" w:fill="F2F2F2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/>
              <w:spacing w:before="20" w:after="20"/>
              <w:spacing w:line="264" w:lineRule="auto"/>
            </w:pPr>
            <w:r>
              <w:rPr>
                <w:rFonts w:ascii="Arial" w:hAnsi="Arial" w:eastAsia="Arial"/>
                <w:b w:val="0"/>
                <w:caps w:val="0"/>
                <w:color w:val="111111"/>
                <w:sz w:val="17"/>
              </w:rPr>
              <w:t>Language detection and testing in the top 5 customer languages</w:t>
            </w:r>
          </w:p>
        </w:tc>
        <w:tc>
          <w:tcPr>
            <w:tcW w:type="dxa" w:w="2620"/>
            <w:shd w:val="clear" w:color="auto" w:fill="F2F2F2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/>
              <w:spacing w:before="20" w:after="20"/>
              <w:spacing w:line="264" w:lineRule="auto"/>
            </w:pPr>
            <w:r>
              <w:rPr>
                <w:rFonts w:ascii="Arial" w:hAnsi="Arial" w:eastAsia="Arial"/>
                <w:b w:val="0"/>
                <w:caps w:val="0"/>
                <w:color w:val="111111"/>
                <w:sz w:val="17"/>
              </w:rPr>
              <w:t>3-4</w:t>
            </w:r>
          </w:p>
        </w:tc>
      </w:tr>
      <w:tr>
        <w:trPr>
          <w:cantSplit w:val="true"/>
        </w:trPr>
        <w:tc>
          <w:tcPr>
            <w:tcW w:type="dxa" w:w="7459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/>
              <w:spacing w:before="20" w:after="20"/>
              <w:spacing w:line="264" w:lineRule="auto"/>
            </w:pPr>
            <w:r>
              <w:rPr>
                <w:rFonts w:ascii="Arial" w:hAnsi="Arial" w:eastAsia="Arial"/>
                <w:b w:val="0"/>
                <w:caps w:val="0"/>
                <w:color w:val="111111"/>
                <w:sz w:val="17"/>
              </w:rPr>
              <w:t>Dashboard: avatar and persona settings, kill switch, transcripts, minute caps</w:t>
            </w:r>
          </w:p>
        </w:tc>
        <w:tc>
          <w:tcPr>
            <w:tcW w:type="dxa" w:w="262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/>
              <w:spacing w:before="20" w:after="20"/>
              <w:spacing w:line="264" w:lineRule="auto"/>
            </w:pPr>
            <w:r>
              <w:rPr>
                <w:rFonts w:ascii="Arial" w:hAnsi="Arial" w:eastAsia="Arial"/>
                <w:b w:val="0"/>
                <w:caps w:val="0"/>
                <w:color w:val="111111"/>
                <w:sz w:val="17"/>
              </w:rPr>
              <w:t>4-5</w:t>
            </w:r>
          </w:p>
        </w:tc>
      </w:tr>
      <w:tr>
        <w:trPr>
          <w:cantSplit w:val="true"/>
        </w:trPr>
        <w:tc>
          <w:tcPr>
            <w:tcW w:type="dxa" w:w="7459"/>
            <w:shd w:val="clear" w:color="auto" w:fill="F2F2F2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/>
              <w:spacing w:before="20" w:after="20"/>
              <w:spacing w:line="264" w:lineRule="auto"/>
            </w:pPr>
            <w:r>
              <w:rPr>
                <w:rFonts w:ascii="Arial" w:hAnsi="Arial" w:eastAsia="Arial"/>
                <w:b w:val="0"/>
                <w:caps w:val="0"/>
                <w:color w:val="111111"/>
                <w:sz w:val="17"/>
              </w:rPr>
              <w:t>Add-on billing, entitlement and pricing page</w:t>
            </w:r>
          </w:p>
        </w:tc>
        <w:tc>
          <w:tcPr>
            <w:tcW w:type="dxa" w:w="2620"/>
            <w:shd w:val="clear" w:color="auto" w:fill="F2F2F2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/>
              <w:spacing w:before="20" w:after="20"/>
              <w:spacing w:line="264" w:lineRule="auto"/>
            </w:pPr>
            <w:r>
              <w:rPr>
                <w:rFonts w:ascii="Arial" w:hAnsi="Arial" w:eastAsia="Arial"/>
                <w:b w:val="0"/>
                <w:caps w:val="0"/>
                <w:color w:val="111111"/>
                <w:sz w:val="17"/>
              </w:rPr>
              <w:t>1-2</w:t>
            </w:r>
          </w:p>
        </w:tc>
      </w:tr>
      <w:tr>
        <w:trPr>
          <w:cantSplit w:val="true"/>
        </w:trPr>
        <w:tc>
          <w:tcPr>
            <w:tcW w:type="dxa" w:w="7459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/>
              <w:spacing w:before="20" w:after="20"/>
              <w:spacing w:line="264" w:lineRule="auto"/>
            </w:pPr>
            <w:r>
              <w:rPr>
                <w:rFonts w:ascii="Arial" w:hAnsi="Arial" w:eastAsia="Arial"/>
                <w:b w:val="0"/>
                <w:caps w:val="0"/>
                <w:color w:val="111111"/>
                <w:sz w:val="17"/>
              </w:rPr>
              <w:t>Load, concurrency and launch QA</w:t>
            </w:r>
          </w:p>
        </w:tc>
        <w:tc>
          <w:tcPr>
            <w:tcW w:type="dxa" w:w="262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/>
              <w:spacing w:before="20" w:after="20"/>
              <w:spacing w:line="264" w:lineRule="auto"/>
            </w:pPr>
            <w:r>
              <w:rPr>
                <w:rFonts w:ascii="Arial" w:hAnsi="Arial" w:eastAsia="Arial"/>
                <w:b w:val="0"/>
                <w:caps w:val="0"/>
                <w:color w:val="111111"/>
                <w:sz w:val="17"/>
              </w:rPr>
              <w:t>6-8</w:t>
            </w:r>
          </w:p>
        </w:tc>
      </w:tr>
      <w:tr>
        <w:trPr>
          <w:cantSplit w:val="true"/>
        </w:trPr>
        <w:tc>
          <w:tcPr>
            <w:tcW w:type="dxa" w:w="7459"/>
            <w:shd w:val="clear" w:color="auto" w:fill="F2F2F2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before="20" w:after="20"/>
              <w:spacing w:line="264" w:lineRule="auto"/>
            </w:pPr>
            <w:r>
              <w:rPr>
                <w:rFonts w:ascii="Arial" w:hAnsi="Arial" w:eastAsia="Arial"/>
                <w:b/>
                <w:caps w:val="0"/>
                <w:color w:val="111111"/>
                <w:sz w:val="17"/>
              </w:rPr>
              <w:t>TOTAL, LumiLink add-on</w:t>
            </w:r>
          </w:p>
        </w:tc>
        <w:tc>
          <w:tcPr>
            <w:tcW w:type="dxa" w:w="2620"/>
            <w:shd w:val="clear" w:color="auto" w:fill="F2F2F2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before="20" w:after="20"/>
              <w:spacing w:line="264" w:lineRule="auto"/>
            </w:pPr>
            <w:r>
              <w:rPr>
                <w:rFonts w:ascii="Arial" w:hAnsi="Arial" w:eastAsia="Arial"/>
                <w:b/>
                <w:caps w:val="0"/>
                <w:color w:val="111111"/>
                <w:sz w:val="17"/>
              </w:rPr>
              <w:t>38-54 (excludes provider wait and legal review)</w:t>
            </w:r>
          </w:p>
        </w:tc>
      </w:tr>
    </w:tbl>
    <w:p>
      <w:pPr>
        <w:spacing w:before="0" w:after="80"/>
      </w:pPr>
    </w:p>
    <w:p>
      <w:pPr>
        <w:pStyle w:val="ListBullet"/>
        <w:spacing w:before="40" w:after="40"/>
        <w:spacing w:line="264" w:lineRule="auto"/>
      </w:pPr>
      <w:r>
        <w:rPr>
          <w:rFonts w:ascii="Arial" w:hAnsi="Arial" w:eastAsia="Arial"/>
          <w:b/>
          <w:caps w:val="0"/>
          <w:color w:val="111111"/>
          <w:sz w:val="19"/>
        </w:rPr>
        <w:t xml:space="preserve">Basis: </w:t>
      </w:r>
      <w:r>
        <w:rPr>
          <w:rFonts w:ascii="Arial" w:hAnsi="Arial" w:eastAsia="Arial"/>
          <w:b w:val="0"/>
          <w:caps w:val="0"/>
          <w:color w:val="111111"/>
          <w:sz w:val="19"/>
        </w:rPr>
        <w:t>SEO was scoped at 173-210 hours and its code shipped in a week; Outbound phases 1, 2 and 4 took about 3 hours.</w:t>
      </w:r>
    </w:p>
    <w:p>
      <w:pPr>
        <w:pStyle w:val="ListBullet"/>
        <w:spacing w:before="40" w:after="40"/>
        <w:spacing w:line="264" w:lineRule="auto"/>
      </w:pPr>
      <w:r>
        <w:rPr>
          <w:rFonts w:ascii="Arial" w:hAnsi="Arial" w:eastAsia="Arial"/>
          <w:b/>
          <w:caps w:val="0"/>
          <w:color w:val="111111"/>
          <w:sz w:val="19"/>
        </w:rPr>
        <w:t xml:space="preserve">Ceiling: </w:t>
      </w:r>
      <w:r>
        <w:rPr>
          <w:rFonts w:ascii="Arial" w:hAnsi="Arial" w:eastAsia="Arial"/>
          <w:b w:val="0"/>
          <w:caps w:val="0"/>
          <w:color w:val="111111"/>
          <w:sz w:val="19"/>
        </w:rPr>
        <w:t>the original estimate was 82-118 hours; budget against it if the mobile embed slips.</w:t>
      </w:r>
    </w:p>
    <w:p>
      <w:pPr>
        <w:spacing w:before="360" w:after="100"/>
        <w:keepNext/>
        <w:pBdr>
          <w:bottom w:val="single" w:color="111111" w:sz="12" w:space="6"/>
        </w:pBdr>
      </w:pPr>
      <w:r>
        <w:rPr>
          <w:rFonts w:ascii="Arial" w:hAnsi="Arial" w:eastAsia="Arial"/>
          <w:b/>
          <w:caps/>
          <w:color w:val="111111"/>
          <w:sz w:val="24"/>
          <w:spacing w:val="30"/>
        </w:rPr>
        <w:t>Cost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  <w:tblW w:type="dxa" w:w="10080"/>
        <w:tblBorders>
          <w:top w:val="single" w:color="BFBFBF" w:sz="6"/>
          <w:bottom w:val="single" w:color="BFBFBF" w:sz="6"/>
          <w:insideH w:val="single" w:color="BFBFBF" w:sz="4"/>
          <w:left w:val="none" w:color="FFFFFF" w:sz="0"/>
          <w:right w:val="none" w:color="FFFFFF" w:sz="0"/>
          <w:insideV w:val="none" w:color="FFFFFF" w:sz="0"/>
        </w:tblBorders>
      </w:tblPr>
      <w:tblGrid>
        <w:gridCol w:w="4536"/>
        <w:gridCol w:w="1713"/>
        <w:gridCol w:w="3830"/>
      </w:tblGrid>
      <w:tr>
        <w:trPr>
          <w:tblHeader w:val="true"/>
          <w:cantSplit w:val="true"/>
        </w:trPr>
        <w:tc>
          <w:tcPr>
            <w:tcW w:type="dxa" w:w="4536"/>
            <w:shd w:val="clear" w:color="auto" w:fill="111111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/>
              <w:spacing w:before="20" w:after="20"/>
              <w:spacing w:line="264" w:lineRule="auto"/>
            </w:pPr>
            <w:r>
              <w:rPr>
                <w:rFonts w:ascii="Arial" w:hAnsi="Arial" w:eastAsia="Arial"/>
                <w:b/>
                <w:caps/>
                <w:color w:val="FFFFFF"/>
                <w:sz w:val="17"/>
                <w:spacing w:val="16"/>
              </w:rPr>
              <w:t>Line</w:t>
            </w:r>
          </w:p>
        </w:tc>
        <w:tc>
          <w:tcPr>
            <w:tcW w:type="dxa" w:w="1713"/>
            <w:shd w:val="clear" w:color="auto" w:fill="111111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/>
              <w:spacing w:before="20" w:after="20"/>
              <w:spacing w:line="264" w:lineRule="auto"/>
            </w:pPr>
            <w:r>
              <w:rPr>
                <w:rFonts w:ascii="Arial" w:hAnsi="Arial" w:eastAsia="Arial"/>
                <w:b/>
                <w:caps/>
                <w:color w:val="FFFFFF"/>
                <w:sz w:val="17"/>
                <w:spacing w:val="16"/>
              </w:rPr>
              <w:t>Type</w:t>
            </w:r>
          </w:p>
        </w:tc>
        <w:tc>
          <w:tcPr>
            <w:tcW w:type="dxa" w:w="3830"/>
            <w:shd w:val="clear" w:color="auto" w:fill="111111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/>
              <w:spacing w:before="20" w:after="20"/>
              <w:spacing w:line="264" w:lineRule="auto"/>
            </w:pPr>
            <w:r>
              <w:rPr>
                <w:rFonts w:ascii="Arial" w:hAnsi="Arial" w:eastAsia="Arial"/>
                <w:b/>
                <w:caps/>
                <w:color w:val="FFFFFF"/>
                <w:sz w:val="17"/>
                <w:spacing w:val="16"/>
              </w:rPr>
              <w:t>Amount</w:t>
            </w:r>
          </w:p>
        </w:tc>
      </w:tr>
      <w:tr>
        <w:trPr>
          <w:cantSplit w:val="true"/>
        </w:trPr>
        <w:tc>
          <w:tcPr>
            <w:tcW w:type="dxa" w:w="4536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/>
              <w:spacing w:before="20" w:after="20"/>
              <w:spacing w:line="264" w:lineRule="auto"/>
            </w:pPr>
            <w:r>
              <w:rPr>
                <w:rFonts w:ascii="Arial" w:hAnsi="Arial" w:eastAsia="Arial"/>
                <w:b w:val="0"/>
                <w:caps w:val="0"/>
                <w:color w:val="111111"/>
                <w:sz w:val="17"/>
              </w:rPr>
              <w:t>ElevenLabs agent minutes plus LLM tokens</w:t>
            </w:r>
          </w:p>
        </w:tc>
        <w:tc>
          <w:tcPr>
            <w:tcW w:type="dxa" w:w="1713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/>
              <w:spacing w:before="20" w:after="20"/>
              <w:spacing w:line="264" w:lineRule="auto"/>
            </w:pPr>
            <w:r>
              <w:rPr>
                <w:rFonts w:ascii="Arial" w:hAnsi="Arial" w:eastAsia="Arial"/>
                <w:b w:val="0"/>
                <w:caps w:val="0"/>
                <w:color w:val="111111"/>
                <w:sz w:val="17"/>
              </w:rPr>
              <w:t>Variable</w:t>
            </w:r>
          </w:p>
        </w:tc>
        <w:tc>
          <w:tcPr>
            <w:tcW w:type="dxa" w:w="383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/>
              <w:spacing w:before="20" w:after="20"/>
              <w:spacing w:line="264" w:lineRule="auto"/>
            </w:pPr>
            <w:r>
              <w:rPr>
                <w:rFonts w:ascii="Arial" w:hAnsi="Arial" w:eastAsia="Arial"/>
                <w:b w:val="0"/>
                <w:caps w:val="0"/>
                <w:color w:val="111111"/>
                <w:sz w:val="17"/>
              </w:rPr>
              <w:t>$0.085-0.125/min</w:t>
            </w:r>
          </w:p>
        </w:tc>
      </w:tr>
      <w:tr>
        <w:trPr>
          <w:cantSplit w:val="true"/>
        </w:trPr>
        <w:tc>
          <w:tcPr>
            <w:tcW w:type="dxa" w:w="4536"/>
            <w:shd w:val="clear" w:color="auto" w:fill="F2F2F2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/>
              <w:spacing w:before="20" w:after="20"/>
              <w:spacing w:line="264" w:lineRule="auto"/>
            </w:pPr>
            <w:r>
              <w:rPr>
                <w:rFonts w:ascii="Arial" w:hAnsi="Arial" w:eastAsia="Arial"/>
                <w:b w:val="0"/>
                <w:caps w:val="0"/>
                <w:color w:val="111111"/>
                <w:sz w:val="17"/>
              </w:rPr>
              <w:t>Avatar streaming</w:t>
            </w:r>
          </w:p>
        </w:tc>
        <w:tc>
          <w:tcPr>
            <w:tcW w:type="dxa" w:w="1713"/>
            <w:shd w:val="clear" w:color="auto" w:fill="F2F2F2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/>
              <w:spacing w:before="20" w:after="20"/>
              <w:spacing w:line="264" w:lineRule="auto"/>
            </w:pPr>
            <w:r>
              <w:rPr>
                <w:rFonts w:ascii="Arial" w:hAnsi="Arial" w:eastAsia="Arial"/>
                <w:b w:val="0"/>
                <w:caps w:val="0"/>
                <w:color w:val="111111"/>
                <w:sz w:val="17"/>
              </w:rPr>
              <w:t>Variable</w:t>
            </w:r>
          </w:p>
        </w:tc>
        <w:tc>
          <w:tcPr>
            <w:tcW w:type="dxa" w:w="3830"/>
            <w:shd w:val="clear" w:color="auto" w:fill="F2F2F2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/>
              <w:spacing w:before="20" w:after="20"/>
              <w:spacing w:line="264" w:lineRule="auto"/>
            </w:pPr>
            <w:r>
              <w:rPr>
                <w:rFonts w:ascii="Arial" w:hAnsi="Arial" w:eastAsia="Arial"/>
                <w:b w:val="0"/>
                <w:caps w:val="0"/>
                <w:color w:val="111111"/>
                <w:sz w:val="17"/>
              </w:rPr>
              <w:t>$0.09-0.18/min</w:t>
            </w:r>
          </w:p>
        </w:tc>
      </w:tr>
      <w:tr>
        <w:trPr>
          <w:cantSplit w:val="true"/>
        </w:trPr>
        <w:tc>
          <w:tcPr>
            <w:tcW w:type="dxa" w:w="4536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/>
              <w:spacing w:before="20" w:after="20"/>
              <w:spacing w:line="264" w:lineRule="auto"/>
            </w:pPr>
            <w:r>
              <w:rPr>
                <w:rFonts w:ascii="Arial" w:hAnsi="Arial" w:eastAsia="Arial"/>
                <w:b w:val="0"/>
                <w:caps w:val="0"/>
                <w:color w:val="111111"/>
                <w:sz w:val="17"/>
              </w:rPr>
              <w:t>Avatar provider plan</w:t>
            </w:r>
          </w:p>
        </w:tc>
        <w:tc>
          <w:tcPr>
            <w:tcW w:type="dxa" w:w="1713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/>
              <w:spacing w:before="20" w:after="20"/>
              <w:spacing w:line="264" w:lineRule="auto"/>
            </w:pPr>
            <w:r>
              <w:rPr>
                <w:rFonts w:ascii="Arial" w:hAnsi="Arial" w:eastAsia="Arial"/>
                <w:b w:val="0"/>
                <w:caps w:val="0"/>
                <w:color w:val="111111"/>
                <w:sz w:val="17"/>
              </w:rPr>
              <w:t>Recurring</w:t>
            </w:r>
          </w:p>
        </w:tc>
        <w:tc>
          <w:tcPr>
            <w:tcW w:type="dxa" w:w="383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/>
              <w:spacing w:before="20" w:after="20"/>
              <w:spacing w:line="264" w:lineRule="auto"/>
            </w:pPr>
            <w:r>
              <w:rPr>
                <w:rFonts w:ascii="Arial" w:hAnsi="Arial" w:eastAsia="Arial"/>
                <w:b w:val="0"/>
                <w:caps w:val="0"/>
                <w:color w:val="111111"/>
                <w:sz w:val="17"/>
              </w:rPr>
              <w:t>About $99/month</w:t>
            </w:r>
          </w:p>
        </w:tc>
      </w:tr>
      <w:tr>
        <w:trPr>
          <w:cantSplit w:val="true"/>
        </w:trPr>
        <w:tc>
          <w:tcPr>
            <w:tcW w:type="dxa" w:w="4536"/>
            <w:shd w:val="clear" w:color="auto" w:fill="F2F2F2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/>
              <w:spacing w:before="20" w:after="20"/>
              <w:spacing w:line="264" w:lineRule="auto"/>
            </w:pPr>
            <w:r>
              <w:rPr>
                <w:rFonts w:ascii="Arial" w:hAnsi="Arial" w:eastAsia="Arial"/>
                <w:b w:val="0"/>
                <w:caps w:val="0"/>
                <w:color w:val="111111"/>
                <w:sz w:val="17"/>
              </w:rPr>
              <w:t>Custom AI human</w:t>
            </w:r>
          </w:p>
        </w:tc>
        <w:tc>
          <w:tcPr>
            <w:tcW w:type="dxa" w:w="1713"/>
            <w:shd w:val="clear" w:color="auto" w:fill="F2F2F2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/>
              <w:spacing w:before="20" w:after="20"/>
              <w:spacing w:line="264" w:lineRule="auto"/>
            </w:pPr>
            <w:r>
              <w:rPr>
                <w:rFonts w:ascii="Arial" w:hAnsi="Arial" w:eastAsia="Arial"/>
                <w:b w:val="0"/>
                <w:caps w:val="0"/>
                <w:color w:val="111111"/>
                <w:sz w:val="17"/>
              </w:rPr>
              <w:t>One-time</w:t>
            </w:r>
          </w:p>
        </w:tc>
        <w:tc>
          <w:tcPr>
            <w:tcW w:type="dxa" w:w="3830"/>
            <w:shd w:val="clear" w:color="auto" w:fill="F2F2F2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/>
              <w:spacing w:before="20" w:after="20"/>
              <w:spacing w:line="264" w:lineRule="auto"/>
            </w:pPr>
            <w:r>
              <w:rPr>
                <w:rFonts w:ascii="Arial" w:hAnsi="Arial" w:eastAsia="Arial"/>
                <w:b w:val="0"/>
                <w:caps w:val="0"/>
                <w:color w:val="111111"/>
                <w:sz w:val="17"/>
              </w:rPr>
              <w:t>Provider quote, not yet known</w:t>
            </w:r>
          </w:p>
        </w:tc>
      </w:tr>
      <w:tr>
        <w:trPr>
          <w:cantSplit w:val="true"/>
        </w:trPr>
        <w:tc>
          <w:tcPr>
            <w:tcW w:type="dxa" w:w="4536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/>
              <w:spacing w:before="20" w:after="20"/>
              <w:spacing w:line="264" w:lineRule="auto"/>
            </w:pPr>
            <w:r>
              <w:rPr>
                <w:rFonts w:ascii="Arial" w:hAnsi="Arial" w:eastAsia="Arial"/>
                <w:b w:val="0"/>
                <w:caps w:val="0"/>
                <w:color w:val="111111"/>
                <w:sz w:val="17"/>
              </w:rPr>
              <w:t>Total per conversation minute</w:t>
            </w:r>
          </w:p>
        </w:tc>
        <w:tc>
          <w:tcPr>
            <w:tcW w:type="dxa" w:w="1713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/>
              <w:spacing w:before="20" w:after="20"/>
              <w:spacing w:line="264" w:lineRule="auto"/>
            </w:pPr>
            <w:r>
              <w:rPr>
                <w:rFonts w:ascii="Arial" w:hAnsi="Arial" w:eastAsia="Arial"/>
                <w:b w:val="0"/>
                <w:caps w:val="0"/>
                <w:color w:val="111111"/>
                <w:sz w:val="17"/>
              </w:rPr>
            </w:r>
          </w:p>
        </w:tc>
        <w:tc>
          <w:tcPr>
            <w:tcW w:type="dxa" w:w="383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/>
              <w:spacing w:before="20" w:after="20"/>
              <w:spacing w:line="264" w:lineRule="auto"/>
            </w:pPr>
            <w:r>
              <w:rPr>
                <w:rFonts w:ascii="Arial" w:hAnsi="Arial" w:eastAsia="Arial"/>
                <w:b w:val="0"/>
                <w:caps w:val="0"/>
                <w:color w:val="111111"/>
                <w:sz w:val="17"/>
              </w:rPr>
              <w:t>$0.18-0.31</w:t>
            </w:r>
          </w:p>
        </w:tc>
      </w:tr>
      <w:tr>
        <w:trPr>
          <w:cantSplit w:val="true"/>
        </w:trPr>
        <w:tc>
          <w:tcPr>
            <w:tcW w:type="dxa" w:w="4536"/>
            <w:shd w:val="clear" w:color="auto" w:fill="F2F2F2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before="20" w:after="20"/>
              <w:spacing w:line="264" w:lineRule="auto"/>
            </w:pPr>
            <w:r>
              <w:rPr>
                <w:rFonts w:ascii="Arial" w:hAnsi="Arial" w:eastAsia="Arial"/>
                <w:b/>
                <w:caps w:val="0"/>
                <w:color w:val="111111"/>
                <w:sz w:val="17"/>
              </w:rPr>
              <w:t>Example: 1,000 four-minute chats a month</w:t>
            </w:r>
          </w:p>
        </w:tc>
        <w:tc>
          <w:tcPr>
            <w:tcW w:type="dxa" w:w="1713"/>
            <w:shd w:val="clear" w:color="auto" w:fill="F2F2F2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before="20" w:after="20"/>
              <w:spacing w:line="264" w:lineRule="auto"/>
            </w:pPr>
            <w:r>
              <w:rPr>
                <w:rFonts w:ascii="Arial" w:hAnsi="Arial" w:eastAsia="Arial"/>
                <w:b/>
                <w:caps w:val="0"/>
                <w:color w:val="111111"/>
                <w:sz w:val="17"/>
              </w:rPr>
            </w:r>
          </w:p>
        </w:tc>
        <w:tc>
          <w:tcPr>
            <w:tcW w:type="dxa" w:w="3830"/>
            <w:shd w:val="clear" w:color="auto" w:fill="F2F2F2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before="20" w:after="20"/>
              <w:spacing w:line="264" w:lineRule="auto"/>
            </w:pPr>
            <w:r>
              <w:rPr>
                <w:rFonts w:ascii="Arial" w:hAnsi="Arial" w:eastAsia="Arial"/>
                <w:b/>
                <w:caps w:val="0"/>
                <w:color w:val="111111"/>
                <w:sz w:val="17"/>
              </w:rPr>
              <w:t>$720-1,240 plus $99</w:t>
            </w:r>
          </w:p>
        </w:tc>
      </w:tr>
    </w:tbl>
    <w:p>
      <w:pPr>
        <w:spacing w:before="0" w:after="80"/>
      </w:pPr>
    </w:p>
    <w:p>
      <w:pPr>
        <w:spacing w:before="360" w:after="100"/>
        <w:keepNext/>
        <w:pBdr>
          <w:bottom w:val="single" w:color="111111" w:sz="12" w:space="6"/>
        </w:pBdr>
      </w:pPr>
      <w:r>
        <w:rPr>
          <w:rFonts w:ascii="Arial" w:hAnsi="Arial" w:eastAsia="Arial"/>
          <w:b/>
          <w:caps/>
          <w:color w:val="111111"/>
          <w:sz w:val="24"/>
          <w:spacing w:val="30"/>
        </w:rPr>
        <w:t>Rules and Risks</w:t>
      </w:r>
    </w:p>
    <w:p>
      <w:pPr>
        <w:pStyle w:val="ListBullet"/>
        <w:spacing w:before="40" w:after="40"/>
        <w:spacing w:line="264" w:lineRule="auto"/>
      </w:pPr>
      <w:r>
        <w:rPr>
          <w:rFonts w:ascii="Arial" w:hAnsi="Arial" w:eastAsia="Arial"/>
          <w:b/>
          <w:caps w:val="0"/>
          <w:color w:val="111111"/>
          <w:sz w:val="19"/>
        </w:rPr>
        <w:t xml:space="preserve">Cannabis: </w:t>
      </w:r>
      <w:r>
        <w:rPr>
          <w:rFonts w:ascii="Arial" w:hAnsi="Arial" w:eastAsia="Arial"/>
          <w:b w:val="0"/>
          <w:caps w:val="0"/>
          <w:color w:val="111111"/>
          <w:sz w:val="19"/>
        </w:rPr>
        <w:t>no medical or effect claims, a 21+ gate before the avatar talks, counsel review before launch.</w:t>
      </w:r>
    </w:p>
    <w:p>
      <w:pPr>
        <w:pStyle w:val="ListBullet"/>
        <w:spacing w:before="40" w:after="40"/>
        <w:spacing w:line="264" w:lineRule="auto"/>
      </w:pPr>
      <w:r>
        <w:rPr>
          <w:rFonts w:ascii="Arial" w:hAnsi="Arial" w:eastAsia="Arial"/>
          <w:b/>
          <w:caps w:val="0"/>
          <w:color w:val="111111"/>
          <w:sz w:val="19"/>
        </w:rPr>
        <w:t xml:space="preserve">California: </w:t>
      </w:r>
      <w:r>
        <w:rPr>
          <w:rFonts w:ascii="Arial" w:hAnsi="Arial" w:eastAsia="Arial"/>
          <w:b w:val="0"/>
          <w:caps w:val="0"/>
          <w:color w:val="111111"/>
          <w:sz w:val="19"/>
        </w:rPr>
        <w:t>disclose recording (two-party consent) and that the shopper is talking to an AI.</w:t>
      </w:r>
    </w:p>
    <w:p>
      <w:pPr>
        <w:pStyle w:val="ListBullet"/>
        <w:spacing w:before="40" w:after="40"/>
        <w:spacing w:line="264" w:lineRule="auto"/>
      </w:pPr>
      <w:r>
        <w:rPr>
          <w:rFonts w:ascii="Arial" w:hAnsi="Arial" w:eastAsia="Arial"/>
          <w:b/>
          <w:caps w:val="0"/>
          <w:color w:val="111111"/>
          <w:sz w:val="19"/>
        </w:rPr>
        <w:t xml:space="preserve">Health data: </w:t>
      </w:r>
      <w:r>
        <w:rPr>
          <w:rFonts w:ascii="Arial" w:hAnsi="Arial" w:eastAsia="Arial"/>
          <w:b w:val="0"/>
          <w:caps w:val="0"/>
          <w:color w:val="111111"/>
          <w:sz w:val="19"/>
        </w:rPr>
        <w:t>shoppers will describe conditions; transcripts need retention limits and a privacy notice.</w:t>
      </w:r>
    </w:p>
    <w:p>
      <w:pPr>
        <w:pStyle w:val="ListBullet"/>
        <w:spacing w:before="40" w:after="40"/>
        <w:spacing w:line="264" w:lineRule="auto"/>
      </w:pPr>
      <w:r>
        <w:rPr>
          <w:rFonts w:ascii="Arial" w:hAnsi="Arial" w:eastAsia="Arial"/>
          <w:b/>
          <w:caps w:val="0"/>
          <w:color w:val="111111"/>
          <w:sz w:val="19"/>
        </w:rPr>
        <w:t xml:space="preserve">Cost runaway: </w:t>
      </w:r>
      <w:r>
        <w:rPr>
          <w:rFonts w:ascii="Arial" w:hAnsi="Arial" w:eastAsia="Arial"/>
          <w:b w:val="0"/>
          <w:caps w:val="0"/>
          <w:color w:val="111111"/>
          <w:sz w:val="19"/>
        </w:rPr>
        <w:t>video costs double voice per minute; per-client minute caps ship day one.</w:t>
      </w:r>
    </w:p>
    <w:p>
      <w:pPr>
        <w:spacing w:before="360" w:after="100"/>
        <w:keepNext/>
        <w:pBdr>
          <w:bottom w:val="single" w:color="111111" w:sz="12" w:space="6"/>
        </w:pBdr>
      </w:pPr>
      <w:r>
        <w:rPr>
          <w:rFonts w:ascii="Arial" w:hAnsi="Arial" w:eastAsia="Arial"/>
          <w:b/>
          <w:caps/>
          <w:color w:val="111111"/>
          <w:sz w:val="24"/>
          <w:spacing w:val="30"/>
        </w:rPr>
        <w:t>PACKS: On LumiLink or In-House</w:t>
      </w:r>
    </w:p>
    <w:p>
      <w:pPr>
        <w:keepNext/>
        <w:spacing w:before="0" w:after="100"/>
        <w:spacing w:line="264" w:lineRule="auto"/>
      </w:pPr>
      <w:r>
        <w:rPr>
          <w:rFonts w:ascii="Arial" w:hAnsi="Arial" w:eastAsia="Arial"/>
          <w:b w:val="0"/>
          <w:caps w:val="0"/>
          <w:color w:val="5A5A5A"/>
          <w:sz w:val="17"/>
        </w:rPr>
        <w:t>The same budtender, built two ways, assuming one developer builds either. Detail: the PACKS In-House Build scope.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  <w:tblW w:type="dxa" w:w="10080"/>
        <w:tblBorders>
          <w:top w:val="single" w:color="BFBFBF" w:sz="6"/>
          <w:bottom w:val="single" w:color="BFBFBF" w:sz="6"/>
          <w:insideH w:val="single" w:color="BFBFBF" w:sz="4"/>
          <w:left w:val="none" w:color="FFFFFF" w:sz="0"/>
          <w:right w:val="none" w:color="FFFFFF" w:sz="0"/>
          <w:insideV w:val="none" w:color="FFFFFF" w:sz="0"/>
        </w:tblBorders>
      </w:tblPr>
      <w:tblGrid>
        <w:gridCol w:w="2016"/>
        <w:gridCol w:w="3830"/>
        <w:gridCol w:w="4233"/>
      </w:tblGrid>
      <w:tr>
        <w:trPr>
          <w:tblHeader w:val="true"/>
          <w:cantSplit w:val="true"/>
        </w:trPr>
        <w:tc>
          <w:tcPr>
            <w:tcW w:type="dxa" w:w="2016"/>
            <w:shd w:val="clear" w:color="auto" w:fill="111111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/>
              <w:spacing w:before="20" w:after="20"/>
              <w:spacing w:line="264" w:lineRule="auto"/>
            </w:pPr>
            <w:r>
              <w:rPr>
                <w:rFonts w:ascii="Arial" w:hAnsi="Arial" w:eastAsia="Arial"/>
                <w:b/>
                <w:caps/>
                <w:color w:val="FFFFFF"/>
                <w:sz w:val="17"/>
                <w:spacing w:val="16"/>
              </w:rPr>
            </w:r>
          </w:p>
        </w:tc>
        <w:tc>
          <w:tcPr>
            <w:tcW w:type="dxa" w:w="3830"/>
            <w:shd w:val="clear" w:color="auto" w:fill="111111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/>
              <w:spacing w:before="20" w:after="20"/>
              <w:spacing w:line="264" w:lineRule="auto"/>
            </w:pPr>
            <w:r>
              <w:rPr>
                <w:rFonts w:ascii="Arial" w:hAnsi="Arial" w:eastAsia="Arial"/>
                <w:b/>
                <w:caps/>
                <w:color w:val="FFFFFF"/>
                <w:sz w:val="17"/>
                <w:spacing w:val="16"/>
              </w:rPr>
              <w:t>On the LumiLink stack</w:t>
            </w:r>
          </w:p>
        </w:tc>
        <w:tc>
          <w:tcPr>
            <w:tcW w:type="dxa" w:w="4233"/>
            <w:shd w:val="clear" w:color="auto" w:fill="111111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/>
              <w:spacing w:before="20" w:after="20"/>
              <w:spacing w:line="264" w:lineRule="auto"/>
            </w:pPr>
            <w:r>
              <w:rPr>
                <w:rFonts w:ascii="Arial" w:hAnsi="Arial" w:eastAsia="Arial"/>
                <w:b/>
                <w:caps/>
                <w:color w:val="FFFFFF"/>
                <w:sz w:val="17"/>
                <w:spacing w:val="16"/>
              </w:rPr>
              <w:t>Built in-house at PACKS</w:t>
            </w:r>
          </w:p>
        </w:tc>
      </w:tr>
      <w:tr>
        <w:trPr>
          <w:cantSplit w:val="true"/>
        </w:trPr>
        <w:tc>
          <w:tcPr>
            <w:tcW w:type="dxa" w:w="2016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/>
              <w:spacing w:before="20" w:after="20"/>
              <w:spacing w:line="264" w:lineRule="auto"/>
            </w:pPr>
            <w:r>
              <w:rPr>
                <w:rFonts w:ascii="Arial" w:hAnsi="Arial" w:eastAsia="Arial"/>
                <w:b w:val="0"/>
                <w:caps w:val="0"/>
                <w:color w:val="111111"/>
                <w:sz w:val="17"/>
              </w:rPr>
              <w:t>Total build hours</w:t>
            </w:r>
          </w:p>
        </w:tc>
        <w:tc>
          <w:tcPr>
            <w:tcW w:type="dxa" w:w="383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/>
              <w:spacing w:before="20" w:after="20"/>
              <w:spacing w:line="264" w:lineRule="auto"/>
            </w:pPr>
            <w:r>
              <w:rPr>
                <w:rFonts w:ascii="Arial" w:hAnsi="Arial" w:eastAsia="Arial"/>
                <w:b w:val="0"/>
                <w:caps w:val="0"/>
                <w:color w:val="111111"/>
                <w:sz w:val="17"/>
              </w:rPr>
              <w:t>46-68: add-on 38-54, PACKS launch 8-14</w:t>
            </w:r>
          </w:p>
        </w:tc>
        <w:tc>
          <w:tcPr>
            <w:tcW w:type="dxa" w:w="4233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/>
              <w:spacing w:before="20" w:after="20"/>
              <w:spacing w:line="264" w:lineRule="auto"/>
            </w:pPr>
            <w:r>
              <w:rPr>
                <w:rFonts w:ascii="Arial" w:hAnsi="Arial" w:eastAsia="Arial"/>
                <w:b w:val="0"/>
                <w:caps w:val="0"/>
                <w:color w:val="111111"/>
                <w:sz w:val="17"/>
              </w:rPr>
              <w:t>48-69</w:t>
            </w:r>
          </w:p>
        </w:tc>
      </w:tr>
      <w:tr>
        <w:trPr>
          <w:cantSplit w:val="true"/>
        </w:trPr>
        <w:tc>
          <w:tcPr>
            <w:tcW w:type="dxa" w:w="2016"/>
            <w:shd w:val="clear" w:color="auto" w:fill="F2F2F2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/>
              <w:spacing w:before="20" w:after="20"/>
              <w:spacing w:line="264" w:lineRule="auto"/>
            </w:pPr>
            <w:r>
              <w:rPr>
                <w:rFonts w:ascii="Arial" w:hAnsi="Arial" w:eastAsia="Arial"/>
                <w:b w:val="0"/>
                <w:caps w:val="0"/>
                <w:color w:val="111111"/>
                <w:sz w:val="17"/>
              </w:rPr>
              <w:t>Monthly upkeep</w:t>
            </w:r>
          </w:p>
        </w:tc>
        <w:tc>
          <w:tcPr>
            <w:tcW w:type="dxa" w:w="3830"/>
            <w:shd w:val="clear" w:color="auto" w:fill="F2F2F2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/>
              <w:spacing w:before="20" w:after="20"/>
              <w:spacing w:line="264" w:lineRule="auto"/>
            </w:pPr>
            <w:r>
              <w:rPr>
                <w:rFonts w:ascii="Arial" w:hAnsi="Arial" w:eastAsia="Arial"/>
                <w:b w:val="0"/>
                <w:caps w:val="0"/>
                <w:color w:val="111111"/>
                <w:sz w:val="17"/>
              </w:rPr>
              <w:t>4-8 hrs; shared only once other clients join</w:t>
            </w:r>
          </w:p>
        </w:tc>
        <w:tc>
          <w:tcPr>
            <w:tcW w:type="dxa" w:w="4233"/>
            <w:shd w:val="clear" w:color="auto" w:fill="F2F2F2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/>
              <w:spacing w:before="20" w:after="20"/>
              <w:spacing w:line="264" w:lineRule="auto"/>
            </w:pPr>
            <w:r>
              <w:rPr>
                <w:rFonts w:ascii="Arial" w:hAnsi="Arial" w:eastAsia="Arial"/>
                <w:b w:val="0"/>
                <w:caps w:val="0"/>
                <w:color w:val="111111"/>
                <w:sz w:val="17"/>
              </w:rPr>
              <w:t>4-8 hrs</w:t>
            </w:r>
          </w:p>
        </w:tc>
      </w:tr>
      <w:tr>
        <w:trPr>
          <w:cantSplit w:val="true"/>
        </w:trPr>
        <w:tc>
          <w:tcPr>
            <w:tcW w:type="dxa" w:w="2016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/>
              <w:spacing w:before="20" w:after="20"/>
              <w:spacing w:line="264" w:lineRule="auto"/>
            </w:pPr>
            <w:r>
              <w:rPr>
                <w:rFonts w:ascii="Arial" w:hAnsi="Arial" w:eastAsia="Arial"/>
                <w:b w:val="0"/>
                <w:caps w:val="0"/>
                <w:color w:val="111111"/>
                <w:sz w:val="17"/>
              </w:rPr>
              <w:t>Running cost</w:t>
            </w:r>
          </w:p>
        </w:tc>
        <w:tc>
          <w:tcPr>
            <w:tcW w:type="dxa" w:w="383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/>
              <w:spacing w:before="20" w:after="20"/>
              <w:spacing w:line="264" w:lineRule="auto"/>
            </w:pPr>
            <w:r>
              <w:rPr>
                <w:rFonts w:ascii="Arial" w:hAnsi="Arial" w:eastAsia="Arial"/>
                <w:b w:val="0"/>
                <w:caps w:val="0"/>
                <w:color w:val="111111"/>
                <w:sz w:val="17"/>
              </w:rPr>
              <w:t>Same usage plus a LumiLink add-on fee, not set</w:t>
            </w:r>
          </w:p>
        </w:tc>
        <w:tc>
          <w:tcPr>
            <w:tcW w:type="dxa" w:w="4233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/>
              <w:spacing w:before="20" w:after="20"/>
              <w:spacing w:line="264" w:lineRule="auto"/>
            </w:pPr>
            <w:r>
              <w:rPr>
                <w:rFonts w:ascii="Arial" w:hAnsi="Arial" w:eastAsia="Arial"/>
                <w:b w:val="0"/>
                <w:caps w:val="0"/>
                <w:color w:val="111111"/>
                <w:sz w:val="17"/>
              </w:rPr>
              <w:t>Same usage plus about $120-205/month in plans</w:t>
            </w:r>
          </w:p>
        </w:tc>
      </w:tr>
      <w:tr>
        <w:trPr>
          <w:cantSplit w:val="true"/>
        </w:trPr>
        <w:tc>
          <w:tcPr>
            <w:tcW w:type="dxa" w:w="2016"/>
            <w:shd w:val="clear" w:color="auto" w:fill="F2F2F2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/>
              <w:spacing w:before="20" w:after="20"/>
              <w:spacing w:line="264" w:lineRule="auto"/>
            </w:pPr>
            <w:r>
              <w:rPr>
                <w:rFonts w:ascii="Arial" w:hAnsi="Arial" w:eastAsia="Arial"/>
                <w:b w:val="0"/>
                <w:caps w:val="0"/>
                <w:color w:val="111111"/>
                <w:sz w:val="17"/>
              </w:rPr>
              <w:t>Customer data</w:t>
            </w:r>
          </w:p>
        </w:tc>
        <w:tc>
          <w:tcPr>
            <w:tcW w:type="dxa" w:w="3830"/>
            <w:shd w:val="clear" w:color="auto" w:fill="F2F2F2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/>
              <w:spacing w:before="20" w:after="20"/>
              <w:spacing w:line="264" w:lineRule="auto"/>
            </w:pPr>
            <w:r>
              <w:rPr>
                <w:rFonts w:ascii="Arial" w:hAnsi="Arial" w:eastAsia="Arial"/>
                <w:b w:val="0"/>
                <w:caps w:val="0"/>
                <w:color w:val="111111"/>
                <w:sz w:val="17"/>
              </w:rPr>
              <w:t>PACKS transcripts sit in LumiLink's systems</w:t>
            </w:r>
          </w:p>
        </w:tc>
        <w:tc>
          <w:tcPr>
            <w:tcW w:type="dxa" w:w="4233"/>
            <w:shd w:val="clear" w:color="auto" w:fill="F2F2F2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/>
              <w:spacing w:before="20" w:after="20"/>
              <w:spacing w:line="264" w:lineRule="auto"/>
            </w:pPr>
            <w:r>
              <w:rPr>
                <w:rFonts w:ascii="Arial" w:hAnsi="Arial" w:eastAsia="Arial"/>
                <w:b w:val="0"/>
                <w:caps w:val="0"/>
                <w:color w:val="111111"/>
                <w:sz w:val="17"/>
              </w:rPr>
              <w:t>Stays with PACKS</w:t>
            </w:r>
          </w:p>
        </w:tc>
      </w:tr>
      <w:tr>
        <w:trPr>
          <w:cantSplit w:val="true"/>
        </w:trPr>
        <w:tc>
          <w:tcPr>
            <w:tcW w:type="dxa" w:w="2016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/>
              <w:spacing w:before="20" w:after="20"/>
              <w:spacing w:line="264" w:lineRule="auto"/>
            </w:pPr>
            <w:r>
              <w:rPr>
                <w:rFonts w:ascii="Arial" w:hAnsi="Arial" w:eastAsia="Arial"/>
                <w:b w:val="0"/>
                <w:caps w:val="0"/>
                <w:color w:val="111111"/>
                <w:sz w:val="17"/>
              </w:rPr>
              <w:t>Owner</w:t>
            </w:r>
          </w:p>
        </w:tc>
        <w:tc>
          <w:tcPr>
            <w:tcW w:type="dxa" w:w="383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/>
              <w:spacing w:before="20" w:after="20"/>
              <w:spacing w:line="264" w:lineRule="auto"/>
            </w:pPr>
            <w:r>
              <w:rPr>
                <w:rFonts w:ascii="Arial" w:hAnsi="Arial" w:eastAsia="Arial"/>
                <w:b w:val="0"/>
                <w:caps w:val="0"/>
                <w:color w:val="111111"/>
                <w:sz w:val="17"/>
              </w:rPr>
              <w:t>LumiLink; PACKS sets persona, look and menu</w:t>
            </w:r>
          </w:p>
        </w:tc>
        <w:tc>
          <w:tcPr>
            <w:tcW w:type="dxa" w:w="4233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/>
              <w:spacing w:before="20" w:after="20"/>
              <w:spacing w:line="264" w:lineRule="auto"/>
            </w:pPr>
            <w:r>
              <w:rPr>
                <w:rFonts w:ascii="Arial" w:hAnsi="Arial" w:eastAsia="Arial"/>
                <w:b w:val="0"/>
                <w:caps w:val="0"/>
                <w:color w:val="111111"/>
                <w:sz w:val="17"/>
              </w:rPr>
              <w:t>PACKS's one developer</w:t>
            </w:r>
          </w:p>
        </w:tc>
      </w:tr>
      <w:tr>
        <w:trPr>
          <w:cantSplit w:val="true"/>
        </w:trPr>
        <w:tc>
          <w:tcPr>
            <w:tcW w:type="dxa" w:w="2016"/>
            <w:shd w:val="clear" w:color="auto" w:fill="F2F2F2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before="20" w:after="20"/>
              <w:spacing w:line="264" w:lineRule="auto"/>
            </w:pPr>
            <w:r>
              <w:rPr>
                <w:rFonts w:ascii="Arial" w:hAnsi="Arial" w:eastAsia="Arial"/>
                <w:b w:val="0"/>
                <w:caps w:val="0"/>
                <w:color w:val="111111"/>
                <w:sz w:val="17"/>
              </w:rPr>
              <w:t>Comes out ahead when</w:t>
            </w:r>
          </w:p>
        </w:tc>
        <w:tc>
          <w:tcPr>
            <w:tcW w:type="dxa" w:w="3830"/>
            <w:shd w:val="clear" w:color="auto" w:fill="F2F2F2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before="20" w:after="20"/>
              <w:spacing w:line="264" w:lineRule="auto"/>
            </w:pPr>
            <w:r>
              <w:rPr>
                <w:rFonts w:ascii="Arial" w:hAnsi="Arial" w:eastAsia="Arial"/>
                <w:b w:val="0"/>
                <w:caps w:val="0"/>
                <w:color w:val="111111"/>
                <w:sz w:val="17"/>
              </w:rPr>
              <w:t>LumiLink sells it to other clients</w:t>
            </w:r>
          </w:p>
        </w:tc>
        <w:tc>
          <w:tcPr>
            <w:tcW w:type="dxa" w:w="4233"/>
            <w:shd w:val="clear" w:color="auto" w:fill="F2F2F2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before="20" w:after="20"/>
              <w:spacing w:line="264" w:lineRule="auto"/>
            </w:pPr>
            <w:r>
              <w:rPr>
                <w:rFonts w:ascii="Arial" w:hAnsi="Arial" w:eastAsia="Arial"/>
                <w:b w:val="0"/>
                <w:caps w:val="0"/>
                <w:color w:val="111111"/>
                <w:sz w:val="17"/>
              </w:rPr>
              <w:t>PACKS is the only user</w:t>
            </w:r>
          </w:p>
        </w:tc>
      </w:tr>
    </w:tbl>
    <w:p>
      <w:pPr>
        <w:spacing w:before="0" w:after="80"/>
      </w:pPr>
    </w:p>
    <w:p>
      <w:pPr>
        <w:spacing w:before="360" w:after="100"/>
        <w:keepNext/>
        <w:pBdr>
          <w:bottom w:val="single" w:color="111111" w:sz="12" w:space="6"/>
        </w:pBdr>
      </w:pPr>
      <w:r>
        <w:rPr>
          <w:rFonts w:ascii="Arial" w:hAnsi="Arial" w:eastAsia="Arial"/>
          <w:b/>
          <w:caps/>
          <w:color w:val="111111"/>
          <w:sz w:val="24"/>
          <w:spacing w:val="30"/>
        </w:rPr>
        <w:t>Next Steps</w:t>
      </w:r>
    </w:p>
    <w:p>
      <w:pPr>
        <w:pStyle w:val="ListBullet"/>
        <w:spacing w:before="40" w:after="40"/>
        <w:spacing w:line="264" w:lineRule="auto"/>
      </w:pPr>
      <w:r>
        <w:rPr>
          <w:rFonts w:ascii="Arial" w:hAnsi="Arial" w:eastAsia="Arial"/>
          <w:b/>
          <w:caps w:val="0"/>
          <w:color w:val="111111"/>
          <w:sz w:val="19"/>
        </w:rPr>
        <w:t xml:space="preserve">Leadership: </w:t>
      </w:r>
      <w:r>
        <w:rPr>
          <w:rFonts w:ascii="Arial" w:hAnsi="Arial" w:eastAsia="Arial"/>
          <w:b w:val="0"/>
          <w:caps w:val="0"/>
          <w:color w:val="111111"/>
          <w:sz w:val="19"/>
        </w:rPr>
        <w:t>decide whether LumiLink will sell this to other clients; that decides the path.</w:t>
      </w:r>
    </w:p>
    <w:p>
      <w:pPr>
        <w:pStyle w:val="ListBullet"/>
        <w:spacing w:before="40" w:after="40"/>
        <w:spacing w:line="264" w:lineRule="auto"/>
      </w:pPr>
      <w:r>
        <w:rPr>
          <w:rFonts w:ascii="Arial" w:hAnsi="Arial" w:eastAsia="Arial"/>
          <w:b/>
          <w:caps w:val="0"/>
          <w:color w:val="111111"/>
          <w:sz w:val="19"/>
        </w:rPr>
        <w:t xml:space="preserve">LumiLink dev: </w:t>
      </w:r>
      <w:r>
        <w:rPr>
          <w:rFonts w:ascii="Arial" w:hAnsi="Arial" w:eastAsia="Arial"/>
          <w:b w:val="0"/>
          <w:caps w:val="0"/>
          <w:color w:val="111111"/>
          <w:sz w:val="19"/>
        </w:rPr>
        <w:t>run the provider bake-off; get custom-avatar and streaming quotes.</w:t>
      </w:r>
    </w:p>
    <w:p>
      <w:pPr>
        <w:pStyle w:val="ListBullet"/>
        <w:spacing w:before="40" w:after="40"/>
        <w:spacing w:line="264" w:lineRule="auto"/>
      </w:pPr>
      <w:r>
        <w:rPr>
          <w:rFonts w:ascii="Arial" w:hAnsi="Arial" w:eastAsia="Arial"/>
          <w:b/>
          <w:caps w:val="0"/>
          <w:color w:val="111111"/>
          <w:sz w:val="19"/>
        </w:rPr>
        <w:t xml:space="preserve">PACKS: </w:t>
      </w:r>
      <w:r>
        <w:rPr>
          <w:rFonts w:ascii="Arial" w:hAnsi="Arial" w:eastAsia="Arial"/>
          <w:b w:val="0"/>
          <w:caps w:val="0"/>
          <w:color w:val="111111"/>
          <w:sz w:val="19"/>
        </w:rPr>
        <w:t>choose the avatar's look and name; confirm the AIQ Dispense API reads all four stores.</w:t>
      </w:r>
    </w:p>
    <w:p>
      <w:pPr>
        <w:pStyle w:val="ListBullet"/>
        <w:spacing w:before="40" w:after="40"/>
        <w:spacing w:line="264" w:lineRule="auto"/>
      </w:pPr>
      <w:r>
        <w:rPr>
          <w:rFonts w:ascii="Arial" w:hAnsi="Arial" w:eastAsia="Arial"/>
          <w:b/>
          <w:caps w:val="0"/>
          <w:color w:val="111111"/>
          <w:sz w:val="19"/>
        </w:rPr>
        <w:t xml:space="preserve">Counsel: </w:t>
      </w:r>
      <w:r>
        <w:rPr>
          <w:rFonts w:ascii="Arial" w:hAnsi="Arial" w:eastAsia="Arial"/>
          <w:b w:val="0"/>
          <w:caps w:val="0"/>
          <w:color w:val="111111"/>
          <w:sz w:val="19"/>
        </w:rPr>
        <w:t>review the cannabis guardrail script before PACKS goes live.</w:t>
      </w:r>
    </w:p>
    <w:p>
      <w:pPr>
        <w:spacing w:before="200" w:after="120"/>
        <w:spacing w:line="264" w:lineRule="auto"/>
      </w:pPr>
      <w:r>
        <w:rPr>
          <w:rFonts w:ascii="Arial" w:hAnsi="Arial" w:eastAsia="Arial"/>
          <w:b w:val="0"/>
          <w:caps w:val="0"/>
          <w:color w:val="6A6A6A"/>
          <w:sz w:val="15"/>
        </w:rPr>
        <w:t>Sources: LumiLink codebase and git history; Akapulu avatar price index, LiveAvatar, D-ID docs, Macha ElevenLabs pricing; AIQ Dispense Blueprint API. Accessed October 14, 2026. Avatar prices are published ranges, not quotes; re-check before committing a budget.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80" w:right="1080" w:bottom="1080" w:left="1080" w:header="640" w:footer="64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rial" w:hAnsi="Arial" w:eastAsia="Arial"/>
        <w:b w:val="0"/>
        <w:caps w:val="0"/>
        <w:color w:val="9A9A9A"/>
        <w:sz w:val="15"/>
      </w:rPr>
      <w:t xml:space="preserve">October 15, 2026        </w:t>
    </w:r>
    <w:r>
      <w:rPr>
        <w:rFonts w:ascii="Arial" w:hAnsi="Arial" w:eastAsia="Arial"/>
        <w:b w:val="0"/>
        <w:caps w:val="0"/>
        <w:color w:val="7A7A7A"/>
        <w:sz w:val="15"/>
      </w:rP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120"/>
      <w:pBdr>
        <w:bottom w:val="single" w:color="D0D0D0" w:sz="4" w:space="4"/>
      </w:pBdr>
    </w:pPr>
    <w:r>
      <w:rPr>
        <w:rFonts w:ascii="Arial" w:hAnsi="Arial" w:eastAsia="Arial"/>
        <w:b w:val="0"/>
        <w:caps w:val="0"/>
        <w:color w:val="7A7A7A"/>
        <w:sz w:val="15"/>
        <w:spacing w:val="30"/>
      </w:rPr>
      <w:t>LUMILINK  ·  AI CONCIERGE SCOPE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color w:val="111111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