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Arial" w:hAnsi="Arial" w:eastAsia="Arial"/>
          <w:b/>
          <w:caps/>
          <w:color w:val="111111"/>
          <w:sz w:val="17"/>
          <w:spacing w:val="60"/>
        </w:rPr>
        <w:t>PACKS</w:t>
      </w:r>
    </w:p>
    <w:p>
      <w:pPr>
        <w:spacing w:before="0" w:after="50"/>
      </w:pPr>
      <w:r>
        <w:rPr>
          <w:rFonts w:ascii="Arial" w:hAnsi="Arial" w:eastAsia="Arial"/>
          <w:b/>
          <w:caps w:val="0"/>
          <w:color w:val="111111"/>
          <w:sz w:val="44"/>
        </w:rPr>
        <w:t>AI Budtender: Building a New Stack In-House</w:t>
      </w:r>
    </w:p>
    <w:p>
      <w:pPr>
        <w:spacing w:before="0" w:after="160"/>
        <w:pBdr>
          <w:bottom w:val="single" w:color="111111" w:sz="12" w:space="10"/>
        </w:pBdr>
      </w:pPr>
      <w:r>
        <w:rPr>
          <w:rFonts w:ascii="Arial" w:hAnsi="Arial" w:eastAsia="Arial"/>
          <w:b w:val="0"/>
          <w:caps w:val="0"/>
          <w:color w:val="3A3A3A"/>
          <w:sz w:val="21"/>
        </w:rPr>
        <w:t>What it takes for PACKS to build, run and maintain its own talking budtender</w:t>
      </w:r>
    </w:p>
    <w:p>
      <w:pPr>
        <w:spacing w:before="100" w:after="200"/>
        <w:spacing w:line="264" w:lineRule="auto"/>
      </w:pPr>
      <w:r>
        <w:rPr>
          <w:rFonts w:ascii="Arial" w:hAnsi="Arial" w:eastAsia="Arial"/>
          <w:b w:val="0"/>
          <w:caps w:val="0"/>
          <w:color w:val="5A5A5A"/>
          <w:sz w:val="17"/>
        </w:rPr>
        <w:t>Scope Brief, Draft 1  ·  October 15, 2026  ·  Companion to the LumiLink AI Concierge scope</w:t>
      </w:r>
    </w:p>
    <w:p>
      <w:pPr>
        <w:spacing w:before="360" w:after="100"/>
        <w:keepNext/>
        <w:pBdr>
          <w:bottom w:val="single" w:color="111111" w:sz="12" w:space="6"/>
        </w:pBdr>
      </w:pPr>
      <w:r>
        <w:rPr>
          <w:rFonts w:ascii="Arial" w:hAnsi="Arial" w:eastAsia="Arial"/>
          <w:b/>
          <w:caps/>
          <w:color w:val="111111"/>
          <w:sz w:val="24"/>
          <w:spacing w:val="30"/>
        </w:rPr>
        <w:t>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type="dxa" w:w="10080"/>
        <w:tblBorders>
          <w:top w:val="single" w:color="BFBFBF" w:sz="6"/>
          <w:bottom w:val="single" w:color="BFBFBF" w:sz="6"/>
          <w:insideH w:val="single" w:color="BFBFBF" w:sz="4"/>
          <w:left w:val="none" w:color="FFFFFF" w:sz="0"/>
          <w:right w:val="none" w:color="FFFFFF" w:sz="0"/>
          <w:insideV w:val="none" w:color="FFFFFF" w:sz="0"/>
        </w:tblBorders>
      </w:tblPr>
      <w:tblGrid>
        <w:gridCol w:w="2217"/>
        <w:gridCol w:w="7862"/>
      </w:tblGrid>
      <w:tr>
        <w:trPr>
          <w:cantSplit w:val="true"/>
        </w:trPr>
        <w:tc>
          <w:tcPr>
            <w:tcW w:type="dxa" w:w="2217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The ask</w:t>
            </w:r>
          </w:p>
        </w:tc>
        <w:tc>
          <w:tcPr>
            <w:tcW w:type="dxa" w:w="786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A talking AI budtender on packsclub.com, built and owned by PACKS instead of LumiLink.</w:t>
            </w:r>
          </w:p>
        </w:tc>
      </w:tr>
      <w:tr>
        <w:trPr>
          <w:cantSplit w:val="true"/>
        </w:trPr>
        <w:tc>
          <w:tcPr>
            <w:tcW w:type="dxa" w:w="2217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What gets built</w:t>
            </w:r>
          </w:p>
        </w:tc>
        <w:tc>
          <w:tcPr>
            <w:tcW w:type="dxa" w:w="7862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PACKS's own ElevenLabs agent shown as a realistic AI-generated human, streamed live by an avatar provider. A Cloudflare Worker backend and live per-store stock from AIQ Dispense.</w:t>
            </w:r>
          </w:p>
        </w:tc>
      </w:tr>
      <w:tr>
        <w:trPr>
          <w:cantSplit w:val="true"/>
        </w:trPr>
        <w:tc>
          <w:tcPr>
            <w:tcW w:type="dxa" w:w="2217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Effort</w:t>
            </w:r>
          </w:p>
        </w:tc>
        <w:tc>
          <w:tcPr>
            <w:tcW w:type="dxa" w:w="786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48-69 hours from one developer, about 3 weeks.</w:t>
            </w:r>
          </w:p>
        </w:tc>
      </w:tr>
      <w:tr>
        <w:trPr>
          <w:cantSplit w:val="true"/>
        </w:trPr>
        <w:tc>
          <w:tcPr>
            <w:tcW w:type="dxa" w:w="2217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Running cost</w:t>
            </w:r>
          </w:p>
        </w:tc>
        <w:tc>
          <w:tcPr>
            <w:tcW w:type="dxa" w:w="7862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About $0.18-0.31 per conversation minute plus about $120-205/month in plans.</w:t>
            </w:r>
          </w:p>
        </w:tc>
      </w:tr>
      <w:tr>
        <w:trPr>
          <w:cantSplit w:val="true"/>
        </w:trPr>
        <w:tc>
          <w:tcPr>
            <w:tcW w:type="dxa" w:w="2217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Upkeep</w:t>
            </w:r>
          </w:p>
        </w:tc>
        <w:tc>
          <w:tcPr>
            <w:tcW w:type="dxa" w:w="786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4-8 hours a month, carried by PACKS's one developer.</w:t>
            </w:r>
          </w:p>
        </w:tc>
      </w:tr>
      <w:tr>
        <w:trPr>
          <w:cantSplit w:val="true"/>
        </w:trPr>
        <w:tc>
          <w:tcPr>
            <w:tcW w:type="dxa" w:w="2217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The call</w:t>
            </w:r>
          </w:p>
        </w:tc>
        <w:tc>
          <w:tcPr>
            <w:tcW w:type="dxa" w:w="7862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About the same effort as the LumiLink route (46-68 hours in all). LumiLink comes out ahead only if other clients share the upkeep.</w:t>
            </w:r>
          </w:p>
        </w:tc>
      </w:tr>
    </w:tbl>
    <w:p>
      <w:pPr>
        <w:spacing w:before="0" w:after="80"/>
      </w:pPr>
    </w:p>
    <w:p>
      <w:pPr>
        <w:spacing w:before="360" w:after="100"/>
        <w:keepNext/>
        <w:pBdr>
          <w:bottom w:val="single" w:color="111111" w:sz="12" w:space="6"/>
        </w:pBdr>
      </w:pPr>
      <w:r>
        <w:rPr>
          <w:rFonts w:ascii="Arial" w:hAnsi="Arial" w:eastAsia="Arial"/>
          <w:b/>
          <w:caps/>
          <w:color w:val="111111"/>
          <w:sz w:val="24"/>
          <w:spacing w:val="30"/>
        </w:rPr>
        <w:t>Effort</w:t>
      </w:r>
    </w:p>
    <w:p>
      <w:pPr>
        <w:keepNext/>
        <w:spacing w:before="0" w:after="100"/>
        <w:spacing w:line="264" w:lineRule="auto"/>
      </w:pPr>
      <w:r>
        <w:rPr>
          <w:rFonts w:ascii="Arial" w:hAnsi="Arial" w:eastAsia="Arial"/>
          <w:b w:val="0"/>
          <w:caps w:val="0"/>
          <w:color w:val="5A5A5A"/>
          <w:sz w:val="17"/>
        </w:rPr>
        <w:t>One developer, Claude-assisted. Hours include build and testing.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type="dxa" w:w="10080"/>
        <w:tblBorders>
          <w:top w:val="single" w:color="BFBFBF" w:sz="6"/>
          <w:bottom w:val="single" w:color="BFBFBF" w:sz="6"/>
          <w:insideH w:val="single" w:color="BFBFBF" w:sz="4"/>
          <w:left w:val="none" w:color="FFFFFF" w:sz="0"/>
          <w:right w:val="none" w:color="FFFFFF" w:sz="0"/>
          <w:insideV w:val="none" w:color="FFFFFF" w:sz="0"/>
        </w:tblBorders>
      </w:tblPr>
      <w:tblGrid>
        <w:gridCol w:w="7257"/>
        <w:gridCol w:w="2822"/>
      </w:tblGrid>
      <w:tr>
        <w:trPr>
          <w:tblHeader w:val="true"/>
          <w:cantSplit w:val="true"/>
        </w:trPr>
        <w:tc>
          <w:tcPr>
            <w:tcW w:type="dxa" w:w="7257"/>
            <w:shd w:val="clear" w:color="auto" w:fill="111111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/>
                <w:color w:val="FFFFFF"/>
                <w:sz w:val="17"/>
                <w:spacing w:val="16"/>
              </w:rPr>
              <w:t>Module</w:t>
            </w:r>
          </w:p>
        </w:tc>
        <w:tc>
          <w:tcPr>
            <w:tcW w:type="dxa" w:w="2822"/>
            <w:shd w:val="clear" w:color="auto" w:fill="111111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/>
                <w:color w:val="FFFFFF"/>
                <w:sz w:val="17"/>
                <w:spacing w:val="16"/>
              </w:rPr>
              <w:t>Hrs</w:t>
            </w:r>
          </w:p>
        </w:tc>
      </w:tr>
      <w:tr>
        <w:trPr>
          <w:cantSplit w:val="true"/>
        </w:trPr>
        <w:tc>
          <w:tcPr>
            <w:tcW w:type="dxa" w:w="7257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Accounts and setup</w:t>
            </w:r>
          </w:p>
        </w:tc>
        <w:tc>
          <w:tcPr>
            <w:tcW w:type="dxa" w:w="282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2-3</w:t>
            </w:r>
          </w:p>
        </w:tc>
      </w:tr>
      <w:tr>
        <w:trPr>
          <w:cantSplit w:val="true"/>
        </w:trPr>
        <w:tc>
          <w:tcPr>
            <w:tcW w:type="dxa" w:w="7257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Avatar provider bake-off and custom AI human</w:t>
            </w:r>
          </w:p>
        </w:tc>
        <w:tc>
          <w:tcPr>
            <w:tcW w:type="dxa" w:w="2822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6-8</w:t>
            </w:r>
          </w:p>
        </w:tc>
      </w:tr>
      <w:tr>
        <w:trPr>
          <w:cantSplit w:val="true"/>
        </w:trPr>
        <w:tc>
          <w:tcPr>
            <w:tcW w:type="dxa" w:w="7257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Session token server</w:t>
            </w:r>
          </w:p>
        </w:tc>
        <w:tc>
          <w:tcPr>
            <w:tcW w:type="dxa" w:w="282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4-6</w:t>
            </w:r>
          </w:p>
        </w:tc>
      </w:tr>
      <w:tr>
        <w:trPr>
          <w:cantSplit w:val="true"/>
        </w:trPr>
        <w:tc>
          <w:tcPr>
            <w:tcW w:type="dxa" w:w="7257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Website embed (Shopify theme)</w:t>
            </w:r>
          </w:p>
        </w:tc>
        <w:tc>
          <w:tcPr>
            <w:tcW w:type="dxa" w:w="2822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7-10</w:t>
            </w:r>
          </w:p>
        </w:tc>
      </w:tr>
      <w:tr>
        <w:trPr>
          <w:cantSplit w:val="true"/>
        </w:trPr>
        <w:tc>
          <w:tcPr>
            <w:tcW w:type="dxa" w:w="7257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Lip sync to the agent's audio</w:t>
            </w:r>
          </w:p>
        </w:tc>
        <w:tc>
          <w:tcPr>
            <w:tcW w:type="dxa" w:w="282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3-4</w:t>
            </w:r>
          </w:p>
        </w:tc>
      </w:tr>
      <w:tr>
        <w:trPr>
          <w:cantSplit w:val="true"/>
        </w:trPr>
        <w:tc>
          <w:tcPr>
            <w:tcW w:type="dxa" w:w="7257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Persona, guardrails, red-team set</w:t>
            </w:r>
          </w:p>
        </w:tc>
        <w:tc>
          <w:tcPr>
            <w:tcW w:type="dxa" w:w="2822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10-14</w:t>
            </w:r>
          </w:p>
        </w:tc>
      </w:tr>
      <w:tr>
        <w:trPr>
          <w:cantSplit w:val="true"/>
        </w:trPr>
        <w:tc>
          <w:tcPr>
            <w:tcW w:type="dxa" w:w="7257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Store knowledge</w:t>
            </w:r>
          </w:p>
        </w:tc>
        <w:tc>
          <w:tcPr>
            <w:tcW w:type="dxa" w:w="282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2-3</w:t>
            </w:r>
          </w:p>
        </w:tc>
      </w:tr>
      <w:tr>
        <w:trPr>
          <w:cantSplit w:val="true"/>
        </w:trPr>
        <w:tc>
          <w:tcPr>
            <w:tcW w:type="dxa" w:w="7257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Menu tool (AIQ Dispense)</w:t>
            </w:r>
          </w:p>
        </w:tc>
        <w:tc>
          <w:tcPr>
            <w:tcW w:type="dxa" w:w="2822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2-4</w:t>
            </w:r>
          </w:p>
        </w:tc>
      </w:tr>
      <w:tr>
        <w:trPr>
          <w:cantSplit w:val="true"/>
        </w:trPr>
        <w:tc>
          <w:tcPr>
            <w:tcW w:type="dxa" w:w="7257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Transcripts, kill switch, usage report</w:t>
            </w:r>
          </w:p>
        </w:tc>
        <w:tc>
          <w:tcPr>
            <w:tcW w:type="dxa" w:w="282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4-6</w:t>
            </w:r>
          </w:p>
        </w:tc>
      </w:tr>
      <w:tr>
        <w:trPr>
          <w:cantSplit w:val="true"/>
        </w:trPr>
        <w:tc>
          <w:tcPr>
            <w:tcW w:type="dxa" w:w="7257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Languages</w:t>
            </w:r>
          </w:p>
        </w:tc>
        <w:tc>
          <w:tcPr>
            <w:tcW w:type="dxa" w:w="2822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3-4</w:t>
            </w:r>
          </w:p>
        </w:tc>
      </w:tr>
      <w:tr>
        <w:trPr>
          <w:cantSplit w:val="true"/>
        </w:trPr>
        <w:tc>
          <w:tcPr>
            <w:tcW w:type="dxa" w:w="7257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Load, real-phone testing, launch QA</w:t>
            </w:r>
          </w:p>
        </w:tc>
        <w:tc>
          <w:tcPr>
            <w:tcW w:type="dxa" w:w="282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5-7</w:t>
            </w:r>
          </w:p>
        </w:tc>
      </w:tr>
      <w:tr>
        <w:trPr>
          <w:cantSplit w:val="true"/>
        </w:trPr>
        <w:tc>
          <w:tcPr>
            <w:tcW w:type="dxa" w:w="7257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TOTAL</w:t>
            </w:r>
          </w:p>
        </w:tc>
        <w:tc>
          <w:tcPr>
            <w:tcW w:type="dxa" w:w="2822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48-69 (excludes provider wait and legal review)</w:t>
            </w:r>
          </w:p>
        </w:tc>
      </w:tr>
    </w:tbl>
    <w:p>
      <w:pPr>
        <w:spacing w:before="0" w:after="80"/>
      </w:pP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Calendar: </w:t>
      </w:r>
      <w:r>
        <w:rPr>
          <w:rFonts w:ascii="Arial" w:hAnsi="Arial" w:eastAsia="Arial"/>
          <w:b w:val="0"/>
          <w:caps w:val="0"/>
          <w:color w:val="111111"/>
          <w:sz w:val="19"/>
        </w:rPr>
        <w:t>about 3 weeks next to other work; a demo on a stock AI human in week one. The custom avatar and counsel review set launch.</w:t>
      </w: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Ceiling: </w:t>
      </w:r>
      <w:r>
        <w:rPr>
          <w:rFonts w:ascii="Arial" w:hAnsi="Arial" w:eastAsia="Arial"/>
          <w:b w:val="0"/>
          <w:caps w:val="0"/>
          <w:color w:val="111111"/>
          <w:sz w:val="19"/>
        </w:rPr>
        <w:t>about 85-125 hours if the mobile Safari embed slips.</w:t>
      </w: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What in-house skips: </w:t>
      </w:r>
      <w:r>
        <w:rPr>
          <w:rFonts w:ascii="Arial" w:hAnsi="Arial" w:eastAsia="Arial"/>
          <w:b w:val="0"/>
          <w:caps w:val="0"/>
          <w:color w:val="111111"/>
          <w:sz w:val="19"/>
        </w:rPr>
        <w:t>the multi-client dashboard, billing and the add-on fee.</w:t>
      </w:r>
    </w:p>
    <w:p>
      <w:pPr>
        <w:spacing w:before="360" w:after="100"/>
        <w:keepNext/>
        <w:pBdr>
          <w:bottom w:val="single" w:color="111111" w:sz="12" w:space="6"/>
        </w:pBdr>
      </w:pPr>
      <w:r>
        <w:rPr>
          <w:rFonts w:ascii="Arial" w:hAnsi="Arial" w:eastAsia="Arial"/>
          <w:b/>
          <w:caps/>
          <w:color w:val="111111"/>
          <w:sz w:val="24"/>
          <w:spacing w:val="30"/>
        </w:rPr>
        <w:t>Cost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type="dxa" w:w="10080"/>
        <w:tblBorders>
          <w:top w:val="single" w:color="BFBFBF" w:sz="6"/>
          <w:bottom w:val="single" w:color="BFBFBF" w:sz="6"/>
          <w:insideH w:val="single" w:color="BFBFBF" w:sz="4"/>
          <w:left w:val="none" w:color="FFFFFF" w:sz="0"/>
          <w:right w:val="none" w:color="FFFFFF" w:sz="0"/>
          <w:insideV w:val="none" w:color="FFFFFF" w:sz="0"/>
        </w:tblBorders>
      </w:tblPr>
      <w:tblGrid>
        <w:gridCol w:w="4536"/>
        <w:gridCol w:w="1713"/>
        <w:gridCol w:w="3830"/>
      </w:tblGrid>
      <w:tr>
        <w:trPr>
          <w:tblHeader w:val="true"/>
          <w:cantSplit w:val="true"/>
        </w:trPr>
        <w:tc>
          <w:tcPr>
            <w:tcW w:type="dxa" w:w="4536"/>
            <w:shd w:val="clear" w:color="auto" w:fill="111111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/>
                <w:color w:val="FFFFFF"/>
                <w:sz w:val="17"/>
                <w:spacing w:val="16"/>
              </w:rPr>
              <w:t>Line</w:t>
            </w:r>
          </w:p>
        </w:tc>
        <w:tc>
          <w:tcPr>
            <w:tcW w:type="dxa" w:w="1713"/>
            <w:shd w:val="clear" w:color="auto" w:fill="111111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/>
                <w:color w:val="FFFFFF"/>
                <w:sz w:val="17"/>
                <w:spacing w:val="16"/>
              </w:rPr>
              <w:t>Type</w:t>
            </w:r>
          </w:p>
        </w:tc>
        <w:tc>
          <w:tcPr>
            <w:tcW w:type="dxa" w:w="3830"/>
            <w:shd w:val="clear" w:color="auto" w:fill="111111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/>
                <w:color w:val="FFFFFF"/>
                <w:sz w:val="17"/>
                <w:spacing w:val="16"/>
              </w:rPr>
              <w:t>Amount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Voice agent minutes and LLM tokens</w:t>
            </w:r>
          </w:p>
        </w:tc>
        <w:tc>
          <w:tcPr>
            <w:tcW w:type="dxa" w:w="171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Variable</w:t>
            </w:r>
          </w:p>
        </w:tc>
        <w:tc>
          <w:tcPr>
            <w:tcW w:type="dxa" w:w="38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$0.085-0.125/min</w:t>
            </w:r>
          </w:p>
        </w:tc>
      </w:tr>
      <w:tr>
        <w:trPr>
          <w:cantSplit w:val="true"/>
        </w:trPr>
        <w:tc>
          <w:tcPr>
            <w:tcW w:type="dxa" w:w="4536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Avatar streaming</w:t>
            </w:r>
          </w:p>
        </w:tc>
        <w:tc>
          <w:tcPr>
            <w:tcW w:type="dxa" w:w="1713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Variable</w:t>
            </w:r>
          </w:p>
        </w:tc>
        <w:tc>
          <w:tcPr>
            <w:tcW w:type="dxa" w:w="3830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$0.09-0.18/min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Avatar provider plan</w:t>
            </w:r>
          </w:p>
        </w:tc>
        <w:tc>
          <w:tcPr>
            <w:tcW w:type="dxa" w:w="171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Recurring</w:t>
            </w:r>
          </w:p>
        </w:tc>
        <w:tc>
          <w:tcPr>
            <w:tcW w:type="dxa" w:w="38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About $99/month</w:t>
            </w:r>
          </w:p>
        </w:tc>
      </w:tr>
      <w:tr>
        <w:trPr>
          <w:cantSplit w:val="true"/>
        </w:trPr>
        <w:tc>
          <w:tcPr>
            <w:tcW w:type="dxa" w:w="4536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ElevenLabs plan</w:t>
            </w:r>
          </w:p>
        </w:tc>
        <w:tc>
          <w:tcPr>
            <w:tcW w:type="dxa" w:w="1713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Recurring</w:t>
            </w:r>
          </w:p>
        </w:tc>
        <w:tc>
          <w:tcPr>
            <w:tcW w:type="dxa" w:w="3830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$22-99/month by tier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Cloudflare Workers</w:t>
            </w:r>
          </w:p>
        </w:tc>
        <w:tc>
          <w:tcPr>
            <w:tcW w:type="dxa" w:w="171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Recurring</w:t>
            </w:r>
          </w:p>
        </w:tc>
        <w:tc>
          <w:tcPr>
            <w:tcW w:type="dxa" w:w="38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$0-5/month</w:t>
            </w:r>
          </w:p>
        </w:tc>
      </w:tr>
      <w:tr>
        <w:trPr>
          <w:cantSplit w:val="true"/>
        </w:trPr>
        <w:tc>
          <w:tcPr>
            <w:tcW w:type="dxa" w:w="4536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Custom PACKS avatar</w:t>
            </w:r>
          </w:p>
        </w:tc>
        <w:tc>
          <w:tcPr>
            <w:tcW w:type="dxa" w:w="1713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One-time</w:t>
            </w:r>
          </w:p>
        </w:tc>
        <w:tc>
          <w:tcPr>
            <w:tcW w:type="dxa" w:w="3830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Provider quote, not yet known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Total per conversation minute</w:t>
            </w:r>
          </w:p>
        </w:tc>
        <w:tc>
          <w:tcPr>
            <w:tcW w:type="dxa" w:w="171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</w:r>
          </w:p>
        </w:tc>
        <w:tc>
          <w:tcPr>
            <w:tcW w:type="dxa" w:w="38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$0.18-0.31</w:t>
            </w:r>
          </w:p>
        </w:tc>
      </w:tr>
      <w:tr>
        <w:trPr>
          <w:cantSplit w:val="true"/>
        </w:trPr>
        <w:tc>
          <w:tcPr>
            <w:tcW w:type="dxa" w:w="4536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Example: 1,000 four-minute chats a month</w:t>
            </w:r>
          </w:p>
        </w:tc>
        <w:tc>
          <w:tcPr>
            <w:tcW w:type="dxa" w:w="1713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</w:r>
          </w:p>
        </w:tc>
        <w:tc>
          <w:tcPr>
            <w:tcW w:type="dxa" w:w="3830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$720-1,240 plus about $120-205 in plans</w:t>
            </w:r>
          </w:p>
        </w:tc>
      </w:tr>
    </w:tbl>
    <w:p>
      <w:pPr>
        <w:spacing w:before="0" w:after="80"/>
      </w:pP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Not counted here: </w:t>
      </w:r>
      <w:r>
        <w:rPr>
          <w:rFonts w:ascii="Arial" w:hAnsi="Arial" w:eastAsia="Arial"/>
          <w:b w:val="0"/>
          <w:caps w:val="0"/>
          <w:color w:val="111111"/>
          <w:sz w:val="19"/>
        </w:rPr>
        <w:t>internal build hours, monthly upkeep hours, counsel's review.</w:t>
      </w:r>
    </w:p>
    <w:p>
      <w:pPr>
        <w:spacing w:before="360" w:after="100"/>
        <w:keepNext/>
        <w:pBdr>
          <w:bottom w:val="single" w:color="111111" w:sz="12" w:space="6"/>
        </w:pBdr>
      </w:pPr>
      <w:r>
        <w:rPr>
          <w:rFonts w:ascii="Arial" w:hAnsi="Arial" w:eastAsia="Arial"/>
          <w:b/>
          <w:caps/>
          <w:color w:val="111111"/>
          <w:sz w:val="24"/>
          <w:spacing w:val="30"/>
        </w:rPr>
        <w:t>Upkeep</w:t>
      </w:r>
    </w:p>
    <w:p>
      <w:pPr>
        <w:keepNext/>
        <w:spacing w:before="0" w:after="100"/>
        <w:spacing w:line="264" w:lineRule="auto"/>
      </w:pPr>
      <w:r>
        <w:rPr>
          <w:rFonts w:ascii="Arial" w:hAnsi="Arial" w:eastAsia="Arial"/>
          <w:b w:val="0"/>
          <w:caps w:val="0"/>
          <w:color w:val="5A5A5A"/>
          <w:sz w:val="17"/>
        </w:rPr>
        <w:t>Estimates, not measured. This is the work PACKS carries every month after launch.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type="dxa" w:w="10080"/>
        <w:tblBorders>
          <w:top w:val="single" w:color="BFBFBF" w:sz="6"/>
          <w:bottom w:val="single" w:color="BFBFBF" w:sz="6"/>
          <w:insideH w:val="single" w:color="BFBFBF" w:sz="4"/>
          <w:left w:val="none" w:color="FFFFFF" w:sz="0"/>
          <w:right w:val="none" w:color="FFFFFF" w:sz="0"/>
          <w:insideV w:val="none" w:color="FFFFFF" w:sz="0"/>
        </w:tblBorders>
      </w:tblPr>
      <w:tblGrid>
        <w:gridCol w:w="8064"/>
        <w:gridCol w:w="2016"/>
      </w:tblGrid>
      <w:tr>
        <w:trPr>
          <w:tblHeader w:val="true"/>
          <w:cantSplit w:val="true"/>
        </w:trPr>
        <w:tc>
          <w:tcPr>
            <w:tcW w:type="dxa" w:w="8064"/>
            <w:shd w:val="clear" w:color="auto" w:fill="111111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/>
                <w:color w:val="FFFFFF"/>
                <w:sz w:val="17"/>
                <w:spacing w:val="16"/>
              </w:rPr>
              <w:t>Task</w:t>
            </w:r>
          </w:p>
        </w:tc>
        <w:tc>
          <w:tcPr>
            <w:tcW w:type="dxa" w:w="2016"/>
            <w:shd w:val="clear" w:color="auto" w:fill="111111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/>
                <w:color w:val="FFFFFF"/>
                <w:sz w:val="17"/>
                <w:spacing w:val="16"/>
              </w:rPr>
              <w:t>Hrs/month</w:t>
            </w:r>
          </w:p>
        </w:tc>
      </w:tr>
      <w:tr>
        <w:trPr>
          <w:cantSplit w:val="true"/>
        </w:trPr>
        <w:tc>
          <w:tcPr>
            <w:tcW w:type="dxa" w:w="8064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Provider SDK, API and model changes</w:t>
            </w:r>
          </w:p>
        </w:tc>
        <w:tc>
          <w:tcPr>
            <w:tcW w:type="dxa" w:w="201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1-2</w:t>
            </w:r>
          </w:p>
        </w:tc>
      </w:tr>
      <w:tr>
        <w:trPr>
          <w:cantSplit w:val="true"/>
        </w:trPr>
        <w:tc>
          <w:tcPr>
            <w:tcW w:type="dxa" w:w="8064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Prompt and guardrail tuning from transcripts</w:t>
            </w:r>
          </w:p>
        </w:tc>
        <w:tc>
          <w:tcPr>
            <w:tcW w:type="dxa" w:w="2016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1-2</w:t>
            </w:r>
          </w:p>
        </w:tc>
      </w:tr>
      <w:tr>
        <w:trPr>
          <w:cantSplit w:val="true"/>
        </w:trPr>
        <w:tc>
          <w:tcPr>
            <w:tcW w:type="dxa" w:w="8064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Compliance spot-check of transcripts</w:t>
            </w:r>
          </w:p>
        </w:tc>
        <w:tc>
          <w:tcPr>
            <w:tcW w:type="dxa" w:w="201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1-2</w:t>
            </w:r>
          </w:p>
        </w:tc>
      </w:tr>
      <w:tr>
        <w:trPr>
          <w:cantSplit w:val="true"/>
        </w:trPr>
        <w:tc>
          <w:tcPr>
            <w:tcW w:type="dxa" w:w="8064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Menu feed breakages, store and deal updates</w:t>
            </w:r>
          </w:p>
        </w:tc>
        <w:tc>
          <w:tcPr>
            <w:tcW w:type="dxa" w:w="2016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0.5-1</w:t>
            </w:r>
          </w:p>
        </w:tc>
      </w:tr>
      <w:tr>
        <w:trPr>
          <w:cantSplit w:val="true"/>
        </w:trPr>
        <w:tc>
          <w:tcPr>
            <w:tcW w:type="dxa" w:w="8064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Usage, caps and cost monitoring</w:t>
            </w:r>
          </w:p>
        </w:tc>
        <w:tc>
          <w:tcPr>
            <w:tcW w:type="dxa" w:w="201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spacing w:before="20" w:after="20"/>
              <w:spacing w:line="264" w:lineRule="auto"/>
            </w:pPr>
            <w:r>
              <w:rPr>
                <w:rFonts w:ascii="Arial" w:hAnsi="Arial" w:eastAsia="Arial"/>
                <w:b w:val="0"/>
                <w:caps w:val="0"/>
                <w:color w:val="111111"/>
                <w:sz w:val="17"/>
              </w:rPr>
              <w:t>0.5-1</w:t>
            </w:r>
          </w:p>
        </w:tc>
      </w:tr>
      <w:tr>
        <w:trPr>
          <w:cantSplit w:val="true"/>
        </w:trPr>
        <w:tc>
          <w:tcPr>
            <w:tcW w:type="dxa" w:w="8064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TOTAL</w:t>
            </w:r>
          </w:p>
        </w:tc>
        <w:tc>
          <w:tcPr>
            <w:tcW w:type="dxa" w:w="2016"/>
            <w:shd w:val="clear" w:color="auto" w:fill="F2F2F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20" w:after="20"/>
              <w:spacing w:line="264" w:lineRule="auto"/>
            </w:pPr>
            <w:r>
              <w:rPr>
                <w:rFonts w:ascii="Arial" w:hAnsi="Arial" w:eastAsia="Arial"/>
                <w:b/>
                <w:caps w:val="0"/>
                <w:color w:val="111111"/>
                <w:sz w:val="17"/>
              </w:rPr>
              <w:t>4-8</w:t>
            </w:r>
          </w:p>
        </w:tc>
      </w:tr>
    </w:tbl>
    <w:p>
      <w:pPr>
        <w:spacing w:before="0" w:after="80"/>
      </w:pP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On LumiLink: </w:t>
      </w:r>
      <w:r>
        <w:rPr>
          <w:rFonts w:ascii="Arial" w:hAnsi="Arial" w:eastAsia="Arial"/>
          <w:b w:val="0"/>
          <w:caps w:val="0"/>
          <w:color w:val="111111"/>
          <w:sz w:val="19"/>
        </w:rPr>
        <w:t>the first, fourth and fifth rows are shared once other clients join; until then the same hours land on LumiLink.</w:t>
      </w:r>
    </w:p>
    <w:p>
      <w:pPr>
        <w:spacing w:before="360" w:after="100"/>
        <w:keepNext/>
        <w:pBdr>
          <w:bottom w:val="single" w:color="111111" w:sz="12" w:space="6"/>
        </w:pBdr>
      </w:pPr>
      <w:r>
        <w:rPr>
          <w:rFonts w:ascii="Arial" w:hAnsi="Arial" w:eastAsia="Arial"/>
          <w:b/>
          <w:caps/>
          <w:color w:val="111111"/>
          <w:sz w:val="24"/>
          <w:spacing w:val="30"/>
        </w:rPr>
        <w:t>Rules and Risks</w:t>
      </w: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One developer: </w:t>
      </w:r>
      <w:r>
        <w:rPr>
          <w:rFonts w:ascii="Arial" w:hAnsi="Arial" w:eastAsia="Arial"/>
          <w:b w:val="0"/>
          <w:caps w:val="0"/>
          <w:color w:val="111111"/>
          <w:sz w:val="19"/>
        </w:rPr>
        <w:t>if that person is out, nobody fixes an outage or a guardrail slip; the same holds on LumiLink if one developer runs it.</w:t>
      </w: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California: </w:t>
      </w:r>
      <w:r>
        <w:rPr>
          <w:rFonts w:ascii="Arial" w:hAnsi="Arial" w:eastAsia="Arial"/>
          <w:b w:val="0"/>
          <w:caps w:val="0"/>
          <w:color w:val="111111"/>
          <w:sz w:val="19"/>
        </w:rPr>
        <w:t>no medical or effect claims, 21+ gate, recording and AI disclosure; counsel reviews.</w:t>
      </w: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Open to the public: </w:t>
      </w:r>
      <w:r>
        <w:rPr>
          <w:rFonts w:ascii="Arial" w:hAnsi="Arial" w:eastAsia="Arial"/>
          <w:b w:val="0"/>
          <w:caps w:val="0"/>
          <w:color w:val="111111"/>
          <w:sz w:val="19"/>
        </w:rPr>
        <w:t>no login, so minute caps and rate limits ship on day one.</w:t>
      </w: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Menu platform: </w:t>
      </w:r>
      <w:r>
        <w:rPr>
          <w:rFonts w:ascii="Arial" w:hAnsi="Arial" w:eastAsia="Arial"/>
          <w:b w:val="0"/>
          <w:caps w:val="0"/>
          <w:color w:val="111111"/>
          <w:sz w:val="19"/>
        </w:rPr>
        <w:t>built on AIQ Dispense; the Flowhub swap costs 4-6 more hours.</w:t>
      </w:r>
    </w:p>
    <w:p>
      <w:pPr>
        <w:spacing w:before="360" w:after="100"/>
        <w:keepNext/>
        <w:pBdr>
          <w:bottom w:val="single" w:color="111111" w:sz="12" w:space="6"/>
        </w:pBdr>
      </w:pPr>
      <w:r>
        <w:rPr>
          <w:rFonts w:ascii="Arial" w:hAnsi="Arial" w:eastAsia="Arial"/>
          <w:b/>
          <w:caps/>
          <w:color w:val="111111"/>
          <w:sz w:val="24"/>
          <w:spacing w:val="30"/>
        </w:rPr>
        <w:t>Next Steps</w:t>
      </w: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Leadership: </w:t>
      </w:r>
      <w:r>
        <w:rPr>
          <w:rFonts w:ascii="Arial" w:hAnsi="Arial" w:eastAsia="Arial"/>
          <w:b w:val="0"/>
          <w:caps w:val="0"/>
          <w:color w:val="111111"/>
          <w:sz w:val="19"/>
        </w:rPr>
        <w:t>compare this with the LumiLink scope and pick a path.</w:t>
      </w: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PACKS brand: </w:t>
      </w:r>
      <w:r>
        <w:rPr>
          <w:rFonts w:ascii="Arial" w:hAnsi="Arial" w:eastAsia="Arial"/>
          <w:b w:val="0"/>
          <w:caps w:val="0"/>
          <w:color w:val="111111"/>
          <w:sz w:val="19"/>
        </w:rPr>
        <w:t>the avatar's look, name, personality and languages.</w:t>
      </w: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Developer: </w:t>
      </w:r>
      <w:r>
        <w:rPr>
          <w:rFonts w:ascii="Arial" w:hAnsi="Arial" w:eastAsia="Arial"/>
          <w:b w:val="0"/>
          <w:caps w:val="0"/>
          <w:color w:val="111111"/>
          <w:sz w:val="19"/>
        </w:rPr>
        <w:t>confirm the Dispense proxy Worker is deployed; get avatar provider quotes.</w:t>
      </w:r>
    </w:p>
    <w:p>
      <w:pPr>
        <w:pStyle w:val="ListBullet"/>
        <w:spacing w:before="40" w:after="40"/>
        <w:spacing w:line="264" w:lineRule="auto"/>
      </w:pPr>
      <w:r>
        <w:rPr>
          <w:rFonts w:ascii="Arial" w:hAnsi="Arial" w:eastAsia="Arial"/>
          <w:b/>
          <w:caps w:val="0"/>
          <w:color w:val="111111"/>
          <w:sz w:val="19"/>
        </w:rPr>
        <w:t xml:space="preserve">Counsel: </w:t>
      </w:r>
      <w:r>
        <w:rPr>
          <w:rFonts w:ascii="Arial" w:hAnsi="Arial" w:eastAsia="Arial"/>
          <w:b w:val="0"/>
          <w:caps w:val="0"/>
          <w:color w:val="111111"/>
          <w:sz w:val="19"/>
        </w:rPr>
        <w:t>review the guardrail script and disclosures before launch.</w:t>
      </w:r>
    </w:p>
    <w:p>
      <w:pPr>
        <w:spacing w:before="200" w:after="120"/>
        <w:spacing w:line="264" w:lineRule="auto"/>
      </w:pPr>
      <w:r>
        <w:rPr>
          <w:rFonts w:ascii="Arial" w:hAnsi="Arial" w:eastAsia="Arial"/>
          <w:b w:val="0"/>
          <w:caps w:val="0"/>
          <w:color w:val="6A6A6A"/>
          <w:sz w:val="15"/>
        </w:rPr>
        <w:t>Sources: PACKS theme and Dispense proxy Worker; AIQ Dispense Blueprint API; LumiLink codebase and build history; Akapulu avatar price index, LiveAvatar, D-ID docs, ElevenLabs and Cloudflare pricing pages. Accessed October 14, 2026. Prices are published ranges, not quotes; re-check before committing a budget.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640" w:footer="6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caps w:val="0"/>
        <w:color w:val="9A9A9A"/>
        <w:sz w:val="15"/>
      </w:rPr>
      <w:t xml:space="preserve">October 15, 2026        </w:t>
    </w:r>
    <w:r>
      <w:rPr>
        <w:rFonts w:ascii="Arial" w:hAnsi="Arial" w:eastAsia="Arial"/>
        <w:b w:val="0"/>
        <w:caps w:val="0"/>
        <w:color w:val="7A7A7A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pBdr>
        <w:bottom w:val="single" w:color="D0D0D0" w:sz="4" w:space="4"/>
      </w:pBdr>
    </w:pPr>
    <w:r>
      <w:rPr>
        <w:rFonts w:ascii="Arial" w:hAnsi="Arial" w:eastAsia="Arial"/>
        <w:b w:val="0"/>
        <w:caps w:val="0"/>
        <w:color w:val="7A7A7A"/>
        <w:sz w:val="15"/>
        <w:spacing w:val="30"/>
      </w:rPr>
      <w:t>PACKS  ·  AI BUDTENDER  ·  IN-HOUSE BUILD SCOPE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