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Arial" w:hAnsi="Arial" w:eastAsia="Arial"/>
          <w:b/>
          <w:caps/>
          <w:color w:val="111111"/>
          <w:sz w:val="17"/>
          <w:spacing w:val="60"/>
        </w:rPr>
        <w:t>LumiLink</w:t>
      </w:r>
    </w:p>
    <w:p>
      <w:pPr>
        <w:spacing w:before="0" w:after="50"/>
      </w:pPr>
      <w:r>
        <w:rPr>
          <w:rFonts w:ascii="Arial" w:hAnsi="Arial" w:eastAsia="Arial"/>
          <w:b/>
          <w:caps w:val="0"/>
          <w:color w:val="111111"/>
          <w:sz w:val="44"/>
        </w:rPr>
        <w:t>AI Concierge: A Talking Avatar on the Website</w:t>
      </w:r>
    </w:p>
    <w:p>
      <w:pPr>
        <w:spacing w:before="0" w:after="160"/>
        <w:pBdr>
          <w:bottom w:val="single" w:color="111111" w:sz="12" w:space="10"/>
        </w:pBdr>
      </w:pPr>
      <w:r>
        <w:rPr>
          <w:rFonts w:ascii="Arial" w:hAnsi="Arial" w:eastAsia="Arial"/>
          <w:b w:val="0"/>
          <w:caps w:val="0"/>
          <w:color w:val="3A3A3A"/>
          <w:sz w:val="21"/>
        </w:rPr>
        <w:t>A virtual budtender that speaks, answers and recommends in any language</w:t>
      </w:r>
    </w:p>
    <w:p>
      <w:pPr>
        <w:spacing w:before="100" w:after="200"/>
        <w:spacing w:line="264" w:lineRule="auto"/>
      </w:pPr>
      <w:r>
        <w:rPr>
          <w:rFonts w:ascii="Arial" w:hAnsi="Arial" w:eastAsia="Arial"/>
          <w:b w:val="0"/>
          <w:caps w:val="0"/>
          <w:color w:val="5A5A5A"/>
          <w:sz w:val="17"/>
        </w:rPr>
        <w:t>Scope Brief, Draft 2  ·  October 15, 2026</w:t>
      </w:r>
    </w:p>
    <w:p>
      <w:pPr>
        <w:spacing w:before="360" w:after="100"/>
        <w:keepNext/>
        <w:pBdr>
          <w:bottom w:val="single" w:color="111111" w:sz="12" w:space="6"/>
        </w:pBdr>
      </w:pPr>
      <w:r>
        <w:rPr>
          <w:rFonts w:ascii="Arial" w:hAnsi="Arial" w:eastAsia="Arial"/>
          <w:b/>
          <w:caps/>
          <w:color w:val="111111"/>
          <w:sz w:val="24"/>
          <w:spacing w:val="30"/>
        </w:rPr>
        <w:t>Summary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type="dxa" w:w="10080"/>
        <w:tblBorders>
          <w:top w:val="single" w:color="BFBFBF" w:sz="6"/>
          <w:bottom w:val="single" w:color="BFBFBF" w:sz="6"/>
          <w:insideH w:val="single" w:color="BFBFBF" w:sz="4"/>
          <w:left w:val="none" w:color="FFFFFF" w:sz="0"/>
          <w:right w:val="none" w:color="FFFFFF" w:sz="0"/>
          <w:insideV w:val="none" w:color="FFFFFF" w:sz="0"/>
        </w:tblBorders>
      </w:tblPr>
      <w:tblGrid>
        <w:gridCol w:w="2217"/>
        <w:gridCol w:w="7862"/>
      </w:tblGrid>
      <w:tr>
        <w:trPr>
          <w:cantSplit w:val="true"/>
        </w:trPr>
        <w:tc>
          <w:tcPr>
            <w:tcW w:type="dxa" w:w="2217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before="20" w:after="20"/>
              <w:spacing w:line="264" w:lineRule="auto"/>
            </w:pPr>
            <w:r>
              <w:rPr>
                <w:rFonts w:ascii="Arial" w:hAnsi="Arial" w:eastAsia="Arial"/>
                <w:b/>
                <w:caps w:val="0"/>
                <w:color w:val="111111"/>
                <w:sz w:val="17"/>
              </w:rPr>
              <w:t>The ask</w:t>
            </w:r>
          </w:p>
        </w:tc>
        <w:tc>
          <w:tcPr>
            <w:tcW w:type="dxa" w:w="786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A website avatar like the reel's virtual budtender: trained on the store, guardrailed, with a set personality and a custom look.</w:t>
            </w:r>
          </w:p>
        </w:tc>
      </w:tr>
      <w:tr>
        <w:trPr>
          <w:cantSplit w:val="true"/>
        </w:trPr>
        <w:tc>
          <w:tcPr>
            <w:tcW w:type="dxa" w:w="2217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before="20" w:after="20"/>
              <w:spacing w:line="264" w:lineRule="auto"/>
            </w:pPr>
            <w:r>
              <w:rPr>
                <w:rFonts w:ascii="Arial" w:hAnsi="Arial" w:eastAsia="Arial"/>
                <w:b/>
                <w:caps w:val="0"/>
                <w:color w:val="111111"/>
                <w:sz w:val="17"/>
              </w:rPr>
              <w:t>What gets built</w:t>
            </w:r>
          </w:p>
        </w:tc>
        <w:tc>
          <w:tcPr>
            <w:tcW w:type="dxa" w:w="7862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A LumiLink add-on: our existing ElevenLabs agent (voice, 30+ languages, knowledge base, product lookup) with a licensed avatar face streamed on the site.</w:t>
            </w:r>
          </w:p>
        </w:tc>
      </w:tr>
      <w:tr>
        <w:trPr>
          <w:cantSplit w:val="true"/>
        </w:trPr>
        <w:tc>
          <w:tcPr>
            <w:tcW w:type="dxa" w:w="2217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before="20" w:after="20"/>
              <w:spacing w:line="264" w:lineRule="auto"/>
            </w:pPr>
            <w:r>
              <w:rPr>
                <w:rFonts w:ascii="Arial" w:hAnsi="Arial" w:eastAsia="Arial"/>
                <w:b/>
                <w:caps w:val="0"/>
                <w:color w:val="111111"/>
                <w:sz w:val="17"/>
              </w:rPr>
              <w:t>Effort</w:t>
            </w:r>
          </w:p>
        </w:tc>
        <w:tc>
          <w:tcPr>
            <w:tcW w:type="dxa" w:w="786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38-54 hours for the LumiLink add-on, then 8-14 to launch it for PACKS; about 2 weeks.</w:t>
            </w:r>
          </w:p>
        </w:tc>
      </w:tr>
      <w:tr>
        <w:trPr>
          <w:cantSplit w:val="true"/>
        </w:trPr>
        <w:tc>
          <w:tcPr>
            <w:tcW w:type="dxa" w:w="2217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before="20" w:after="20"/>
              <w:spacing w:line="264" w:lineRule="auto"/>
            </w:pPr>
            <w:r>
              <w:rPr>
                <w:rFonts w:ascii="Arial" w:hAnsi="Arial" w:eastAsia="Arial"/>
                <w:b/>
                <w:caps w:val="0"/>
                <w:color w:val="111111"/>
                <w:sz w:val="17"/>
              </w:rPr>
              <w:t>Running cost</w:t>
            </w:r>
          </w:p>
        </w:tc>
        <w:tc>
          <w:tcPr>
            <w:tcW w:type="dxa" w:w="7862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About $0.18-0.31 per conversation minute, plus about $99/month for the avatar vendor.</w:t>
            </w:r>
          </w:p>
        </w:tc>
      </w:tr>
      <w:tr>
        <w:trPr>
          <w:cantSplit w:val="true"/>
        </w:trPr>
        <w:tc>
          <w:tcPr>
            <w:tcW w:type="dxa" w:w="2217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before="20" w:after="20"/>
              <w:spacing w:line="264" w:lineRule="auto"/>
            </w:pPr>
            <w:r>
              <w:rPr>
                <w:rFonts w:ascii="Arial" w:hAnsi="Arial" w:eastAsia="Arial"/>
                <w:b/>
                <w:caps w:val="0"/>
                <w:color w:val="111111"/>
                <w:sz w:val="17"/>
              </w:rPr>
              <w:t>Blocker</w:t>
            </w:r>
          </w:p>
        </w:tc>
        <w:tc>
          <w:tcPr>
            <w:tcW w:type="dxa" w:w="786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Avatar vendor not chosen; custom-avatar fee and streaming rates need quotes.</w:t>
            </w:r>
          </w:p>
        </w:tc>
      </w:tr>
      <w:tr>
        <w:trPr>
          <w:cantSplit w:val="true"/>
        </w:trPr>
        <w:tc>
          <w:tcPr>
            <w:tcW w:type="dxa" w:w="2217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before="20" w:after="20"/>
              <w:spacing w:line="264" w:lineRule="auto"/>
            </w:pPr>
            <w:r>
              <w:rPr>
                <w:rFonts w:ascii="Arial" w:hAnsi="Arial" w:eastAsia="Arial"/>
                <w:b/>
                <w:caps w:val="0"/>
                <w:color w:val="111111"/>
                <w:sz w:val="17"/>
              </w:rPr>
              <w:t>Recommendation</w:t>
            </w:r>
          </w:p>
        </w:tc>
        <w:tc>
          <w:tcPr>
            <w:tcW w:type="dxa" w:w="7862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Build it under LumiLink and launch PACKS as the first client, not as a separate in-house build.</w:t>
            </w:r>
          </w:p>
        </w:tc>
      </w:tr>
    </w:tbl>
    <w:p>
      <w:pPr>
        <w:spacing w:before="0" w:after="80"/>
      </w:pPr>
    </w:p>
    <w:p>
      <w:pPr>
        <w:spacing w:before="360" w:after="100"/>
        <w:keepNext/>
        <w:pBdr>
          <w:bottom w:val="single" w:color="111111" w:sz="12" w:space="6"/>
        </w:pBdr>
      </w:pPr>
      <w:r>
        <w:rPr>
          <w:rFonts w:ascii="Arial" w:hAnsi="Arial" w:eastAsia="Arial"/>
          <w:b/>
          <w:caps/>
          <w:color w:val="111111"/>
          <w:sz w:val="24"/>
          <w:spacing w:val="30"/>
        </w:rPr>
        <w:t>Effort</w:t>
      </w:r>
    </w:p>
    <w:p>
      <w:pPr>
        <w:keepNext/>
        <w:spacing w:before="0" w:after="100"/>
        <w:spacing w:line="264" w:lineRule="auto"/>
      </w:pPr>
      <w:r>
        <w:rPr>
          <w:rFonts w:ascii="Arial" w:hAnsi="Arial" w:eastAsia="Arial"/>
          <w:b w:val="0"/>
          <w:caps w:val="0"/>
          <w:color w:val="5A5A5A"/>
          <w:sz w:val="17"/>
        </w:rPr>
        <w:t>One developer, Claude-assisted, at the pace of our SEO and Outbound builds. Hours include build and testing.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type="dxa" w:w="10080"/>
        <w:tblBorders>
          <w:top w:val="single" w:color="BFBFBF" w:sz="6"/>
          <w:bottom w:val="single" w:color="BFBFBF" w:sz="6"/>
          <w:insideH w:val="single" w:color="BFBFBF" w:sz="4"/>
          <w:left w:val="none" w:color="FFFFFF" w:sz="0"/>
          <w:right w:val="none" w:color="FFFFFF" w:sz="0"/>
          <w:insideV w:val="none" w:color="FFFFFF" w:sz="0"/>
        </w:tblBorders>
      </w:tblPr>
      <w:tblGrid>
        <w:gridCol w:w="7459"/>
        <w:gridCol w:w="2620"/>
      </w:tblGrid>
      <w:tr>
        <w:trPr>
          <w:tblHeader w:val="true"/>
          <w:cantSplit w:val="true"/>
        </w:trPr>
        <w:tc>
          <w:tcPr>
            <w:tcW w:type="dxa" w:w="7459"/>
            <w:shd w:val="clear" w:color="auto" w:fill="111111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/>
                <w:caps/>
                <w:color w:val="FFFFFF"/>
                <w:sz w:val="17"/>
                <w:spacing w:val="16"/>
              </w:rPr>
              <w:t>Module</w:t>
            </w:r>
          </w:p>
        </w:tc>
        <w:tc>
          <w:tcPr>
            <w:tcW w:type="dxa" w:w="2620"/>
            <w:shd w:val="clear" w:color="auto" w:fill="111111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/>
                <w:caps/>
                <w:color w:val="FFFFFF"/>
                <w:sz w:val="17"/>
                <w:spacing w:val="16"/>
              </w:rPr>
              <w:t>Hrs</w:t>
            </w:r>
          </w:p>
        </w:tc>
      </w:tr>
      <w:tr>
        <w:trPr>
          <w:cantSplit w:val="true"/>
        </w:trPr>
        <w:tc>
          <w:tcPr>
            <w:tcW w:type="dxa" w:w="7459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Avatar vendor bake-off (LiveAvatar vs D-ID) and custom avatar creation</w:t>
            </w:r>
          </w:p>
        </w:tc>
        <w:tc>
          <w:tcPr>
            <w:tcW w:type="dxa" w:w="2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6-8</w:t>
            </w:r>
          </w:p>
        </w:tc>
      </w:tr>
      <w:tr>
        <w:trPr>
          <w:cantSplit w:val="true"/>
        </w:trPr>
        <w:tc>
          <w:tcPr>
            <w:tcW w:type="dxa" w:w="7459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Website embed: secure session token, avatar player, mic, text fallback, mobile</w:t>
            </w:r>
          </w:p>
        </w:tc>
        <w:tc>
          <w:tcPr>
            <w:tcW w:type="dxa" w:w="2620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6-9</w:t>
            </w:r>
          </w:p>
        </w:tc>
      </w:tr>
      <w:tr>
        <w:trPr>
          <w:cantSplit w:val="true"/>
        </w:trPr>
        <w:tc>
          <w:tcPr>
            <w:tcW w:type="dxa" w:w="7459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Connect the ElevenLabs agent's audio to the avatar's lip sync</w:t>
            </w:r>
          </w:p>
        </w:tc>
        <w:tc>
          <w:tcPr>
            <w:tcW w:type="dxa" w:w="2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3-4</w:t>
            </w:r>
          </w:p>
        </w:tc>
      </w:tr>
      <w:tr>
        <w:trPr>
          <w:cantSplit w:val="true"/>
        </w:trPr>
        <w:tc>
          <w:tcPr>
            <w:tcW w:type="dxa" w:w="7459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Persona and guardrail profile, plus a red-team test set</w:t>
            </w:r>
          </w:p>
        </w:tc>
        <w:tc>
          <w:tcPr>
            <w:tcW w:type="dxa" w:w="2620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7-10</w:t>
            </w:r>
          </w:p>
        </w:tc>
      </w:tr>
      <w:tr>
        <w:trPr>
          <w:cantSplit w:val="true"/>
        </w:trPr>
        <w:tc>
          <w:tcPr>
            <w:tcW w:type="dxa" w:w="7459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Store knowledge: reuse knowledge base and product lookup, add a recommendation tool</w:t>
            </w:r>
          </w:p>
        </w:tc>
        <w:tc>
          <w:tcPr>
            <w:tcW w:type="dxa" w:w="2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2-4</w:t>
            </w:r>
          </w:p>
        </w:tc>
      </w:tr>
      <w:tr>
        <w:trPr>
          <w:cantSplit w:val="true"/>
        </w:trPr>
        <w:tc>
          <w:tcPr>
            <w:tcW w:type="dxa" w:w="7459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Language detection and testing in the top 5 customer languages</w:t>
            </w:r>
          </w:p>
        </w:tc>
        <w:tc>
          <w:tcPr>
            <w:tcW w:type="dxa" w:w="2620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3-4</w:t>
            </w:r>
          </w:p>
        </w:tc>
      </w:tr>
      <w:tr>
        <w:trPr>
          <w:cantSplit w:val="true"/>
        </w:trPr>
        <w:tc>
          <w:tcPr>
            <w:tcW w:type="dxa" w:w="7459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Dashboard: avatar and persona settings, kill switch, transcripts, minute caps</w:t>
            </w:r>
          </w:p>
        </w:tc>
        <w:tc>
          <w:tcPr>
            <w:tcW w:type="dxa" w:w="2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4-5</w:t>
            </w:r>
          </w:p>
        </w:tc>
      </w:tr>
      <w:tr>
        <w:trPr>
          <w:cantSplit w:val="true"/>
        </w:trPr>
        <w:tc>
          <w:tcPr>
            <w:tcW w:type="dxa" w:w="7459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Add-on billing, entitlement and pricing page</w:t>
            </w:r>
          </w:p>
        </w:tc>
        <w:tc>
          <w:tcPr>
            <w:tcW w:type="dxa" w:w="2620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1-2</w:t>
            </w:r>
          </w:p>
        </w:tc>
      </w:tr>
      <w:tr>
        <w:trPr>
          <w:cantSplit w:val="true"/>
        </w:trPr>
        <w:tc>
          <w:tcPr>
            <w:tcW w:type="dxa" w:w="7459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Load, concurrency and launch QA</w:t>
            </w:r>
          </w:p>
        </w:tc>
        <w:tc>
          <w:tcPr>
            <w:tcW w:type="dxa" w:w="2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6-8</w:t>
            </w:r>
          </w:p>
        </w:tc>
      </w:tr>
      <w:tr>
        <w:trPr>
          <w:cantSplit w:val="true"/>
        </w:trPr>
        <w:tc>
          <w:tcPr>
            <w:tcW w:type="dxa" w:w="7459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before="20" w:after="20"/>
              <w:spacing w:line="264" w:lineRule="auto"/>
            </w:pPr>
            <w:r>
              <w:rPr>
                <w:rFonts w:ascii="Arial" w:hAnsi="Arial" w:eastAsia="Arial"/>
                <w:b/>
                <w:caps w:val="0"/>
                <w:color w:val="111111"/>
                <w:sz w:val="17"/>
              </w:rPr>
              <w:t>TOTAL, LumiLink add-on</w:t>
            </w:r>
          </w:p>
        </w:tc>
        <w:tc>
          <w:tcPr>
            <w:tcW w:type="dxa" w:w="2620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before="20" w:after="20"/>
              <w:spacing w:line="264" w:lineRule="auto"/>
            </w:pPr>
            <w:r>
              <w:rPr>
                <w:rFonts w:ascii="Arial" w:hAnsi="Arial" w:eastAsia="Arial"/>
                <w:b/>
                <w:caps w:val="0"/>
                <w:color w:val="111111"/>
                <w:sz w:val="17"/>
              </w:rPr>
              <w:t>38-54 (excludes vendor wait and legal review)</w:t>
            </w:r>
          </w:p>
        </w:tc>
      </w:tr>
    </w:tbl>
    <w:p>
      <w:pPr>
        <w:spacing w:before="0" w:after="80"/>
      </w:pPr>
    </w:p>
    <w:p>
      <w:pPr>
        <w:pStyle w:val="ListBullet"/>
        <w:spacing w:before="40" w:after="40"/>
        <w:spacing w:line="264" w:lineRule="auto"/>
      </w:pPr>
      <w:r>
        <w:rPr>
          <w:rFonts w:ascii="Arial" w:hAnsi="Arial" w:eastAsia="Arial"/>
          <w:b/>
          <w:caps w:val="0"/>
          <w:color w:val="111111"/>
          <w:sz w:val="19"/>
        </w:rPr>
        <w:t xml:space="preserve">Basis: </w:t>
      </w:r>
      <w:r>
        <w:rPr>
          <w:rFonts w:ascii="Arial" w:hAnsi="Arial" w:eastAsia="Arial"/>
          <w:b w:val="0"/>
          <w:caps w:val="0"/>
          <w:color w:val="111111"/>
          <w:sz w:val="19"/>
        </w:rPr>
        <w:t>SEO was scoped at 173-210 hours and its code shipped in a week; Outbound's first three phases took one day.</w:t>
      </w:r>
    </w:p>
    <w:p>
      <w:pPr>
        <w:pStyle w:val="ListBullet"/>
        <w:spacing w:before="40" w:after="40"/>
        <w:spacing w:line="264" w:lineRule="auto"/>
      </w:pPr>
      <w:r>
        <w:rPr>
          <w:rFonts w:ascii="Arial" w:hAnsi="Arial" w:eastAsia="Arial"/>
          <w:b/>
          <w:caps w:val="0"/>
          <w:color w:val="111111"/>
          <w:sz w:val="19"/>
        </w:rPr>
        <w:t xml:space="preserve">Ceiling: </w:t>
      </w:r>
      <w:r>
        <w:rPr>
          <w:rFonts w:ascii="Arial" w:hAnsi="Arial" w:eastAsia="Arial"/>
          <w:b w:val="0"/>
          <w:caps w:val="0"/>
          <w:color w:val="111111"/>
          <w:sz w:val="19"/>
        </w:rPr>
        <w:t>the original estimate was 82-118 hours; budget against it if the mobile embed slips.</w:t>
      </w:r>
    </w:p>
    <w:p>
      <w:pPr>
        <w:spacing w:before="360" w:after="100"/>
        <w:keepNext/>
        <w:pBdr>
          <w:bottom w:val="single" w:color="111111" w:sz="12" w:space="6"/>
        </w:pBdr>
      </w:pPr>
      <w:r>
        <w:rPr>
          <w:rFonts w:ascii="Arial" w:hAnsi="Arial" w:eastAsia="Arial"/>
          <w:b/>
          <w:caps/>
          <w:color w:val="111111"/>
          <w:sz w:val="24"/>
          <w:spacing w:val="30"/>
        </w:rPr>
        <w:t>Cost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type="dxa" w:w="10080"/>
        <w:tblBorders>
          <w:top w:val="single" w:color="BFBFBF" w:sz="6"/>
          <w:bottom w:val="single" w:color="BFBFBF" w:sz="6"/>
          <w:insideH w:val="single" w:color="BFBFBF" w:sz="4"/>
          <w:left w:val="none" w:color="FFFFFF" w:sz="0"/>
          <w:right w:val="none" w:color="FFFFFF" w:sz="0"/>
          <w:insideV w:val="none" w:color="FFFFFF" w:sz="0"/>
        </w:tblBorders>
      </w:tblPr>
      <w:tblGrid>
        <w:gridCol w:w="4536"/>
        <w:gridCol w:w="1713"/>
        <w:gridCol w:w="3830"/>
      </w:tblGrid>
      <w:tr>
        <w:trPr>
          <w:tblHeader w:val="true"/>
          <w:cantSplit w:val="true"/>
        </w:trPr>
        <w:tc>
          <w:tcPr>
            <w:tcW w:type="dxa" w:w="4536"/>
            <w:shd w:val="clear" w:color="auto" w:fill="111111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/>
                <w:caps/>
                <w:color w:val="FFFFFF"/>
                <w:sz w:val="17"/>
                <w:spacing w:val="16"/>
              </w:rPr>
              <w:t>Line</w:t>
            </w:r>
          </w:p>
        </w:tc>
        <w:tc>
          <w:tcPr>
            <w:tcW w:type="dxa" w:w="1713"/>
            <w:shd w:val="clear" w:color="auto" w:fill="111111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/>
                <w:caps/>
                <w:color w:val="FFFFFF"/>
                <w:sz w:val="17"/>
                <w:spacing w:val="16"/>
              </w:rPr>
              <w:t>Type</w:t>
            </w:r>
          </w:p>
        </w:tc>
        <w:tc>
          <w:tcPr>
            <w:tcW w:type="dxa" w:w="3830"/>
            <w:shd w:val="clear" w:color="auto" w:fill="111111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/>
                <w:caps/>
                <w:color w:val="FFFFFF"/>
                <w:sz w:val="17"/>
                <w:spacing w:val="16"/>
              </w:rPr>
              <w:t>Amount</w:t>
            </w:r>
          </w:p>
        </w:tc>
      </w:tr>
      <w:tr>
        <w:trPr>
          <w:cantSplit w:val="true"/>
        </w:trPr>
        <w:tc>
          <w:tcPr>
            <w:tcW w:type="dxa" w:w="453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ElevenLabs agent minutes plus LLM tokens</w:t>
            </w:r>
          </w:p>
        </w:tc>
        <w:tc>
          <w:tcPr>
            <w:tcW w:type="dxa" w:w="1713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Variable</w:t>
            </w:r>
          </w:p>
        </w:tc>
        <w:tc>
          <w:tcPr>
            <w:tcW w:type="dxa" w:w="38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$0.085-0.125/min</w:t>
            </w:r>
          </w:p>
        </w:tc>
      </w:tr>
      <w:tr>
        <w:trPr>
          <w:cantSplit w:val="true"/>
        </w:trPr>
        <w:tc>
          <w:tcPr>
            <w:tcW w:type="dxa" w:w="4536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Avatar streaming (face only)</w:t>
            </w:r>
          </w:p>
        </w:tc>
        <w:tc>
          <w:tcPr>
            <w:tcW w:type="dxa" w:w="1713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Variable</w:t>
            </w:r>
          </w:p>
        </w:tc>
        <w:tc>
          <w:tcPr>
            <w:tcW w:type="dxa" w:w="3830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$0.09-0.18/min</w:t>
            </w:r>
          </w:p>
        </w:tc>
      </w:tr>
      <w:tr>
        <w:trPr>
          <w:cantSplit w:val="true"/>
        </w:trPr>
        <w:tc>
          <w:tcPr>
            <w:tcW w:type="dxa" w:w="453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Avatar vendor plan</w:t>
            </w:r>
          </w:p>
        </w:tc>
        <w:tc>
          <w:tcPr>
            <w:tcW w:type="dxa" w:w="1713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Recurring</w:t>
            </w:r>
          </w:p>
        </w:tc>
        <w:tc>
          <w:tcPr>
            <w:tcW w:type="dxa" w:w="38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About $99/month</w:t>
            </w:r>
          </w:p>
        </w:tc>
      </w:tr>
      <w:tr>
        <w:trPr>
          <w:cantSplit w:val="true"/>
        </w:trPr>
        <w:tc>
          <w:tcPr>
            <w:tcW w:type="dxa" w:w="4536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Custom avatar creation</w:t>
            </w:r>
          </w:p>
        </w:tc>
        <w:tc>
          <w:tcPr>
            <w:tcW w:type="dxa" w:w="1713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One-time</w:t>
            </w:r>
          </w:p>
        </w:tc>
        <w:tc>
          <w:tcPr>
            <w:tcW w:type="dxa" w:w="3830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Vendor quote, not yet known</w:t>
            </w:r>
          </w:p>
        </w:tc>
      </w:tr>
      <w:tr>
        <w:trPr>
          <w:cantSplit w:val="true"/>
        </w:trPr>
        <w:tc>
          <w:tcPr>
            <w:tcW w:type="dxa" w:w="4536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before="20" w:after="20"/>
              <w:spacing w:line="264" w:lineRule="auto"/>
            </w:pPr>
            <w:r>
              <w:rPr>
                <w:rFonts w:ascii="Arial" w:hAnsi="Arial" w:eastAsia="Arial"/>
                <w:b/>
                <w:caps w:val="0"/>
                <w:color w:val="111111"/>
                <w:sz w:val="17"/>
              </w:rPr>
              <w:t>Total per conversation minute</w:t>
            </w:r>
          </w:p>
        </w:tc>
        <w:tc>
          <w:tcPr>
            <w:tcW w:type="dxa" w:w="1713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before="20" w:after="20"/>
              <w:spacing w:line="264" w:lineRule="auto"/>
            </w:pPr>
            <w:r>
              <w:rPr>
                <w:rFonts w:ascii="Arial" w:hAnsi="Arial" w:eastAsia="Arial"/>
                <w:b/>
                <w:caps w:val="0"/>
                <w:color w:val="111111"/>
                <w:sz w:val="17"/>
              </w:rPr>
            </w:r>
          </w:p>
        </w:tc>
        <w:tc>
          <w:tcPr>
            <w:tcW w:type="dxa" w:w="3830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before="20" w:after="20"/>
              <w:spacing w:line="264" w:lineRule="auto"/>
            </w:pPr>
            <w:r>
              <w:rPr>
                <w:rFonts w:ascii="Arial" w:hAnsi="Arial" w:eastAsia="Arial"/>
                <w:b/>
                <w:caps w:val="0"/>
                <w:color w:val="111111"/>
                <w:sz w:val="17"/>
              </w:rPr>
              <w:t>$0.18-0.31 (a 4-minute chat costs $0.70-1.22)</w:t>
            </w:r>
          </w:p>
        </w:tc>
      </w:tr>
    </w:tbl>
    <w:p>
      <w:pPr>
        <w:spacing w:before="0" w:after="80"/>
      </w:pPr>
    </w:p>
    <w:p>
      <w:pPr>
        <w:spacing w:before="360" w:after="100"/>
        <w:keepNext/>
        <w:pBdr>
          <w:bottom w:val="single" w:color="111111" w:sz="12" w:space="6"/>
        </w:pBdr>
      </w:pPr>
      <w:r>
        <w:rPr>
          <w:rFonts w:ascii="Arial" w:hAnsi="Arial" w:eastAsia="Arial"/>
          <w:b/>
          <w:caps/>
          <w:color w:val="111111"/>
          <w:sz w:val="24"/>
          <w:spacing w:val="30"/>
        </w:rPr>
        <w:t>Rules and Risks</w:t>
      </w:r>
    </w:p>
    <w:p>
      <w:pPr>
        <w:pStyle w:val="ListBullet"/>
        <w:spacing w:before="40" w:after="40"/>
        <w:spacing w:line="264" w:lineRule="auto"/>
      </w:pPr>
      <w:r>
        <w:rPr>
          <w:rFonts w:ascii="Arial" w:hAnsi="Arial" w:eastAsia="Arial"/>
          <w:b/>
          <w:caps w:val="0"/>
          <w:color w:val="111111"/>
          <w:sz w:val="19"/>
        </w:rPr>
        <w:t xml:space="preserve">Cannabis: </w:t>
      </w:r>
      <w:r>
        <w:rPr>
          <w:rFonts w:ascii="Arial" w:hAnsi="Arial" w:eastAsia="Arial"/>
          <w:b w:val="0"/>
          <w:caps w:val="0"/>
          <w:color w:val="111111"/>
          <w:sz w:val="19"/>
        </w:rPr>
        <w:t>no medical or effect claims, a 21+ gate before the avatar talks, counsel review before launch.</w:t>
      </w:r>
    </w:p>
    <w:p>
      <w:pPr>
        <w:pStyle w:val="ListBullet"/>
        <w:spacing w:before="40" w:after="40"/>
        <w:spacing w:line="264" w:lineRule="auto"/>
      </w:pPr>
      <w:r>
        <w:rPr>
          <w:rFonts w:ascii="Arial" w:hAnsi="Arial" w:eastAsia="Arial"/>
          <w:b/>
          <w:caps w:val="0"/>
          <w:color w:val="111111"/>
          <w:sz w:val="19"/>
        </w:rPr>
        <w:t xml:space="preserve">Health data: </w:t>
      </w:r>
      <w:r>
        <w:rPr>
          <w:rFonts w:ascii="Arial" w:hAnsi="Arial" w:eastAsia="Arial"/>
          <w:b w:val="0"/>
          <w:caps w:val="0"/>
          <w:color w:val="111111"/>
          <w:sz w:val="19"/>
        </w:rPr>
        <w:t>shoppers will describe conditions; transcripts need retention limits and a privacy notice.</w:t>
      </w:r>
    </w:p>
    <w:p>
      <w:pPr>
        <w:pStyle w:val="ListBullet"/>
        <w:spacing w:before="40" w:after="40"/>
        <w:spacing w:line="264" w:lineRule="auto"/>
      </w:pPr>
      <w:r>
        <w:rPr>
          <w:rFonts w:ascii="Arial" w:hAnsi="Arial" w:eastAsia="Arial"/>
          <w:b/>
          <w:caps w:val="0"/>
          <w:color w:val="111111"/>
          <w:sz w:val="19"/>
        </w:rPr>
        <w:t xml:space="preserve">Cost runaway: </w:t>
      </w:r>
      <w:r>
        <w:rPr>
          <w:rFonts w:ascii="Arial" w:hAnsi="Arial" w:eastAsia="Arial"/>
          <w:b w:val="0"/>
          <w:caps w:val="0"/>
          <w:color w:val="111111"/>
          <w:sz w:val="19"/>
        </w:rPr>
        <w:t>video costs about double voice per minute; per-client minute caps ship on day one.</w:t>
      </w:r>
    </w:p>
    <w:p>
      <w:pPr>
        <w:spacing w:before="360" w:after="100"/>
        <w:keepNext/>
        <w:pBdr>
          <w:bottom w:val="single" w:color="111111" w:sz="12" w:space="6"/>
        </w:pBdr>
      </w:pPr>
      <w:r>
        <w:rPr>
          <w:rFonts w:ascii="Arial" w:hAnsi="Arial" w:eastAsia="Arial"/>
          <w:b/>
          <w:caps/>
          <w:color w:val="111111"/>
          <w:sz w:val="24"/>
          <w:spacing w:val="30"/>
        </w:rPr>
        <w:t>PACKS: On LumiLink or In-House</w:t>
      </w:r>
    </w:p>
    <w:p>
      <w:pPr>
        <w:keepNext/>
        <w:spacing w:before="0" w:after="100"/>
        <w:spacing w:line="264" w:lineRule="auto"/>
      </w:pPr>
      <w:r>
        <w:rPr>
          <w:rFonts w:ascii="Arial" w:hAnsi="Arial" w:eastAsia="Arial"/>
          <w:b w:val="0"/>
          <w:caps w:val="0"/>
          <w:color w:val="5A5A5A"/>
          <w:sz w:val="17"/>
        </w:rPr>
        <w:t>The same budtender for PACKS, built two ways. Upkeep figures are our estimates.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type="dxa" w:w="10080"/>
        <w:tblBorders>
          <w:top w:val="single" w:color="BFBFBF" w:sz="6"/>
          <w:bottom w:val="single" w:color="BFBFBF" w:sz="6"/>
          <w:insideH w:val="single" w:color="BFBFBF" w:sz="4"/>
          <w:left w:val="none" w:color="FFFFFF" w:sz="0"/>
          <w:right w:val="none" w:color="FFFFFF" w:sz="0"/>
          <w:insideV w:val="none" w:color="FFFFFF" w:sz="0"/>
        </w:tblBorders>
      </w:tblPr>
      <w:tblGrid>
        <w:gridCol w:w="2016"/>
        <w:gridCol w:w="3830"/>
        <w:gridCol w:w="4233"/>
      </w:tblGrid>
      <w:tr>
        <w:trPr>
          <w:tblHeader w:val="true"/>
          <w:cantSplit w:val="true"/>
        </w:trPr>
        <w:tc>
          <w:tcPr>
            <w:tcW w:type="dxa" w:w="2016"/>
            <w:shd w:val="clear" w:color="auto" w:fill="111111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/>
                <w:caps/>
                <w:color w:val="FFFFFF"/>
                <w:sz w:val="17"/>
                <w:spacing w:val="16"/>
              </w:rPr>
            </w:r>
          </w:p>
        </w:tc>
        <w:tc>
          <w:tcPr>
            <w:tcW w:type="dxa" w:w="3830"/>
            <w:shd w:val="clear" w:color="auto" w:fill="111111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/>
                <w:caps/>
                <w:color w:val="FFFFFF"/>
                <w:sz w:val="17"/>
                <w:spacing w:val="16"/>
              </w:rPr>
              <w:t>On the LumiLink stack</w:t>
            </w:r>
          </w:p>
        </w:tc>
        <w:tc>
          <w:tcPr>
            <w:tcW w:type="dxa" w:w="4233"/>
            <w:shd w:val="clear" w:color="auto" w:fill="111111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/>
                <w:caps/>
                <w:color w:val="FFFFFF"/>
                <w:sz w:val="17"/>
                <w:spacing w:val="16"/>
              </w:rPr>
              <w:t>Built in-house at PACKS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Build hours for PACKS</w:t>
            </w:r>
          </w:p>
        </w:tc>
        <w:tc>
          <w:tcPr>
            <w:tcW w:type="dxa" w:w="38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8-14, after the add-on ships</w:t>
            </w:r>
          </w:p>
        </w:tc>
        <w:tc>
          <w:tcPr>
            <w:tcW w:type="dxa" w:w="4233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45-65; rebuilds knowledge base, product sync, logging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Monthly upkeep</w:t>
            </w:r>
          </w:p>
        </w:tc>
        <w:tc>
          <w:tcPr>
            <w:tcW w:type="dxa" w:w="3830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1-2 hrs PACKS-specific; platform upkeep shared</w:t>
            </w:r>
          </w:p>
        </w:tc>
        <w:tc>
          <w:tcPr>
            <w:tcW w:type="dxa" w:w="4233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4-8 hrs, carried alone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Vendor or model change</w:t>
            </w:r>
          </w:p>
        </w:tc>
        <w:tc>
          <w:tcPr>
            <w:tcW w:type="dxa" w:w="38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LumiLink fixes it once for every client</w:t>
            </w:r>
          </w:p>
        </w:tc>
        <w:tc>
          <w:tcPr>
            <w:tcW w:type="dxa" w:w="4233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PACKS fixes its own copy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Running cost</w:t>
            </w:r>
          </w:p>
        </w:tc>
        <w:tc>
          <w:tcPr>
            <w:tcW w:type="dxa" w:w="3830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Per-minute usage plus a LumiLink add-on fee</w:t>
            </w:r>
          </w:p>
        </w:tc>
        <w:tc>
          <w:tcPr>
            <w:tcW w:type="dxa" w:w="4233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Same usage plus its own vendor plans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Owner</w:t>
            </w:r>
          </w:p>
        </w:tc>
        <w:tc>
          <w:tcPr>
            <w:tcW w:type="dxa" w:w="38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LumiLink; PACKS sets persona, look and menu</w:t>
            </w:r>
          </w:p>
        </w:tc>
        <w:tc>
          <w:tcPr>
            <w:tcW w:type="dxa" w:w="4233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PACKS's developers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Cost of the choice</w:t>
            </w:r>
          </w:p>
        </w:tc>
        <w:tc>
          <w:tcPr>
            <w:tcW w:type="dxa" w:w="3830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Depends on LumiLink's roadmap and pricing</w:t>
            </w:r>
          </w:p>
        </w:tc>
        <w:tc>
          <w:tcPr>
            <w:tcW w:type="dxa" w:w="4233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No shared fixes; one client carries all upkeep</w:t>
            </w:r>
          </w:p>
        </w:tc>
      </w:tr>
    </w:tbl>
    <w:p>
      <w:pPr>
        <w:spacing w:before="0" w:after="80"/>
      </w:pPr>
    </w:p>
    <w:p>
      <w:pPr>
        <w:spacing w:before="360" w:after="100"/>
        <w:keepNext/>
        <w:pBdr>
          <w:bottom w:val="single" w:color="111111" w:sz="12" w:space="6"/>
        </w:pBdr>
      </w:pPr>
      <w:r>
        <w:rPr>
          <w:rFonts w:ascii="Arial" w:hAnsi="Arial" w:eastAsia="Arial"/>
          <w:b/>
          <w:caps/>
          <w:color w:val="111111"/>
          <w:sz w:val="24"/>
          <w:spacing w:val="30"/>
        </w:rPr>
        <w:t>Next Steps</w:t>
      </w:r>
    </w:p>
    <w:p>
      <w:pPr>
        <w:pStyle w:val="ListBullet"/>
        <w:spacing w:before="40" w:after="40"/>
        <w:spacing w:line="264" w:lineRule="auto"/>
      </w:pPr>
      <w:r>
        <w:rPr>
          <w:rFonts w:ascii="Arial" w:hAnsi="Arial" w:eastAsia="Arial"/>
          <w:b/>
          <w:caps w:val="0"/>
          <w:color w:val="111111"/>
          <w:sz w:val="19"/>
        </w:rPr>
        <w:t xml:space="preserve">Leadership: </w:t>
      </w:r>
      <w:r>
        <w:rPr>
          <w:rFonts w:ascii="Arial" w:hAnsi="Arial" w:eastAsia="Arial"/>
          <w:b w:val="0"/>
          <w:caps w:val="0"/>
          <w:color w:val="111111"/>
          <w:sz w:val="19"/>
        </w:rPr>
        <w:t>approve the LumiLink route and set the add-on price.</w:t>
      </w:r>
    </w:p>
    <w:p>
      <w:pPr>
        <w:pStyle w:val="ListBullet"/>
        <w:spacing w:before="40" w:after="40"/>
        <w:spacing w:line="264" w:lineRule="auto"/>
      </w:pPr>
      <w:r>
        <w:rPr>
          <w:rFonts w:ascii="Arial" w:hAnsi="Arial" w:eastAsia="Arial"/>
          <w:b/>
          <w:caps w:val="0"/>
          <w:color w:val="111111"/>
          <w:sz w:val="19"/>
        </w:rPr>
        <w:t xml:space="preserve">LumiLink dev: </w:t>
      </w:r>
      <w:r>
        <w:rPr>
          <w:rFonts w:ascii="Arial" w:hAnsi="Arial" w:eastAsia="Arial"/>
          <w:b w:val="0"/>
          <w:caps w:val="0"/>
          <w:color w:val="111111"/>
          <w:sz w:val="19"/>
        </w:rPr>
        <w:t>run the vendor bake-off and get custom-avatar and streaming quotes.</w:t>
      </w:r>
    </w:p>
    <w:p>
      <w:pPr>
        <w:pStyle w:val="ListBullet"/>
        <w:spacing w:before="40" w:after="40"/>
        <w:spacing w:line="264" w:lineRule="auto"/>
      </w:pPr>
      <w:r>
        <w:rPr>
          <w:rFonts w:ascii="Arial" w:hAnsi="Arial" w:eastAsia="Arial"/>
          <w:b/>
          <w:caps w:val="0"/>
          <w:color w:val="111111"/>
          <w:sz w:val="19"/>
        </w:rPr>
        <w:t xml:space="preserve">PACKS: </w:t>
      </w:r>
      <w:r>
        <w:rPr>
          <w:rFonts w:ascii="Arial" w:hAnsi="Arial" w:eastAsia="Arial"/>
          <w:b w:val="0"/>
          <w:caps w:val="0"/>
          <w:color w:val="111111"/>
          <w:sz w:val="19"/>
        </w:rPr>
        <w:t>choose the avatar's look and name; confirm the menu data source now that AIQ is going.</w:t>
      </w:r>
    </w:p>
    <w:p>
      <w:pPr>
        <w:pStyle w:val="ListBullet"/>
        <w:spacing w:before="40" w:after="40"/>
        <w:spacing w:line="264" w:lineRule="auto"/>
      </w:pPr>
      <w:r>
        <w:rPr>
          <w:rFonts w:ascii="Arial" w:hAnsi="Arial" w:eastAsia="Arial"/>
          <w:b/>
          <w:caps w:val="0"/>
          <w:color w:val="111111"/>
          <w:sz w:val="19"/>
        </w:rPr>
        <w:t xml:space="preserve">Counsel: </w:t>
      </w:r>
      <w:r>
        <w:rPr>
          <w:rFonts w:ascii="Arial" w:hAnsi="Arial" w:eastAsia="Arial"/>
          <w:b w:val="0"/>
          <w:caps w:val="0"/>
          <w:color w:val="111111"/>
          <w:sz w:val="19"/>
        </w:rPr>
        <w:t>review the cannabis guardrail script before PACKS goes live.</w:t>
      </w:r>
    </w:p>
    <w:p>
      <w:pPr>
        <w:spacing w:before="200" w:after="120"/>
        <w:spacing w:line="264" w:lineRule="auto"/>
      </w:pPr>
      <w:r>
        <w:rPr>
          <w:rFonts w:ascii="Arial" w:hAnsi="Arial" w:eastAsia="Arial"/>
          <w:b w:val="0"/>
          <w:caps w:val="0"/>
          <w:color w:val="6A6A6A"/>
          <w:sz w:val="15"/>
        </w:rPr>
        <w:t>Sources: LumiLink codebase and git history; Akapulu avatar price index, LiveAvatar, D-ID docs, Macha ElevenLabs pricing. Accessed October 14, 2026. Avatar prices are published ranges, not quotes; re-check before committing a budget.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640" w:footer="6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caps w:val="0"/>
        <w:color w:val="9A9A9A"/>
        <w:sz w:val="15"/>
      </w:rPr>
      <w:t xml:space="preserve">October 15, 2026        </w:t>
    </w:r>
    <w:r>
      <w:rPr>
        <w:rFonts w:ascii="Arial" w:hAnsi="Arial" w:eastAsia="Arial"/>
        <w:b w:val="0"/>
        <w:caps w:val="0"/>
        <w:color w:val="7A7A7A"/>
        <w:sz w:val="15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120"/>
      <w:pBdr>
        <w:bottom w:val="single" w:color="D0D0D0" w:sz="4" w:space="4"/>
      </w:pBdr>
    </w:pPr>
    <w:r>
      <w:rPr>
        <w:rFonts w:ascii="Arial" w:hAnsi="Arial" w:eastAsia="Arial"/>
        <w:b w:val="0"/>
        <w:caps w:val="0"/>
        <w:color w:val="7A7A7A"/>
        <w:sz w:val="15"/>
        <w:spacing w:val="30"/>
      </w:rPr>
      <w:t>LUMILINK  ·  AI CONCIERGE SCOPE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