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240" w:lineRule="auto"/>
        <w:rPr>
          <w:color w:val="ff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17"/>
          <w:szCs w:val="17"/>
          <w:rtl w:val="0"/>
        </w:rPr>
        <w:t xml:space="preserve">LUMILINK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44"/>
          <w:szCs w:val="44"/>
          <w:rtl w:val="0"/>
        </w:rPr>
        <w:t xml:space="preserve">AI </w:t>
      </w: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Budtender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tbl>
      <w:tblPr>
        <w:tblStyle w:val="Table1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2217"/>
        <w:gridCol w:w="7862"/>
        <w:tblGridChange w:id="0">
          <w:tblGrid>
            <w:gridCol w:w="2217"/>
            <w:gridCol w:w="7862"/>
          </w:tblGrid>
        </w:tblGridChange>
      </w:tblGrid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4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The 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 talking AI budtender on the website: trained on the store, guardrailed, a set personality and a realistic custom look.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What gets built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 LumiLink add-on: our existing ElevenLabs agent (voice, 30+ languages, knowledge base, product lookup) shown as a realistic AI human, streamed live by HeyGen LiveAvatar.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Effort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35-51 hours for the LumiLink add-on, then 8-14 to launch it for PACKS; about 2 weeks.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Running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About $0.18-0.22 per conversation minute, plus about $99/month for LiveAvatar.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>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ElevenLabs Agents for brain and voice; HeyGen LiveAvatar (face only) for the avatar, launching on a stock AI human.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EFFORT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line="264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5a5a5a"/>
          <w:sz w:val="17"/>
          <w:szCs w:val="17"/>
          <w:rtl w:val="0"/>
        </w:rPr>
        <w:t xml:space="preserve">One developer, Claude-assisted. Hours include build and testing.</w:t>
      </w:r>
      <w:r w:rsidDel="00000000" w:rsidR="00000000" w:rsidRPr="00000000">
        <w:rPr>
          <w:rtl w:val="0"/>
        </w:rPr>
      </w:r>
    </w:p>
    <w:tbl>
      <w:tblPr>
        <w:tblStyle w:val="Table2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7459"/>
        <w:gridCol w:w="2620"/>
        <w:tblGridChange w:id="0">
          <w:tblGrid>
            <w:gridCol w:w="7459"/>
            <w:gridCol w:w="2620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HRS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setup: stock AI human, latency and lip-sync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3-5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Website embed: secure session token, avatar player, mic, text fallback,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6-9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Connect the ElevenLabs agent's audio to the avatar's lip sync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Persona and guardrail profile, plus a red-team test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7-10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Store knowledge: reuse knowledge base and product lookup, add a recommendation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Language detection and testing in the top 5 customer 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Dashboard: avatar and persona settings, kill switch, transcripts, minute caps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4-5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Add-on billing, entitlement and pricing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Load, concurrency and launch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6-8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TOTAL, LumiLink add-on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>35-51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Basis: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SEO was scoped at 173-210 hours and its code shipped in a week; Outbound phases 1, 2 and 4 took about 3 hours.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Ceiling: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the original estimate was 82-118 hours; budget against it if the mobile embed slips.</w:t>
      </w:r>
    </w:p>
    <w:p w:rsidR="00000000" w:rsidDel="00000000" w:rsidP="00000000" w:rsidRDefault="00000000" w:rsidRPr="00000000" w14:paraId="0000002A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COST</w:t>
      </w:r>
      <w:r w:rsidDel="00000000" w:rsidR="00000000" w:rsidRPr="00000000">
        <w:rPr>
          <w:rtl w:val="0"/>
        </w:rPr>
      </w:r>
    </w:p>
    <w:tbl>
      <w:tblPr>
        <w:tblStyle w:val="Table3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4536"/>
        <w:gridCol w:w="1713"/>
        <w:gridCol w:w="3830"/>
        <w:tblGridChange w:id="0">
          <w:tblGrid>
            <w:gridCol w:w="4536"/>
            <w:gridCol w:w="1713"/>
            <w:gridCol w:w="3830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ElevenLabs agent minutes plus LLM 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$0.085-0.125/min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Avatar streaming (LiveAvatar, face only)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About $0.09/min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Recurring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About $99/month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Custom PACKS avatar (optional; launch on stock)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One-time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LiveAvatar quote, if wanted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Total per conversation minute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$0.18-0.22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Example: 1,000 four-minute chats a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1111"/>
                <w:sz w:val="17"/>
                <w:szCs w:val="17"/>
                <w:rtl w:val="0"/>
              </w:rPr>
              <w:t>$700-860 plus $99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RULES AND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Cannabis: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no medical or effect claims, a 21+ gate before the avatar talks, counsel review before launch.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California: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disclose recording (two-party consent) and that the shopper is talking to an AI.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Health data: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shoppers will describe conditions; transcripts need retention limits and a privacy notice.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64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Cost runaway: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1111"/>
          <w:sz w:val="19"/>
          <w:szCs w:val="19"/>
          <w:u w:val="none"/>
          <w:shd w:fill="auto" w:val="clear"/>
          <w:vertAlign w:val="baseline"/>
          <w:rtl w:val="0"/>
        </w:rPr>
        <w:t xml:space="preserve">video costs double voice per minute; per-client minute caps ship day one.</w:t>
      </w:r>
    </w:p>
    <w:p w:rsidR="00000000" w:rsidDel="00000000" w:rsidP="00000000" w:rsidRDefault="00000000" w:rsidRPr="00000000" w14:paraId="00000046">
      <w:pPr>
        <w:keepNext w:val="1"/>
        <w:pBdr>
          <w:bottom w:color="111111" w:space="6" w:sz="12" w:val="single"/>
        </w:pBdr>
        <w:spacing w:after="1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4"/>
          <w:szCs w:val="24"/>
          <w:rtl w:val="0"/>
        </w:rPr>
        <w:t xml:space="preserve">PACKS: ON LUMILINK OR IN-HOUSE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line="264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5a5a5a"/>
          <w:sz w:val="17"/>
          <w:szCs w:val="17"/>
          <w:rtl w:val="0"/>
        </w:rPr>
        <w:t xml:space="preserve">The same budtender, built two ways, assuming one developer builds either. Detail: the PACKS In-House Build scope.</w:t>
      </w:r>
      <w:r w:rsidDel="00000000" w:rsidR="00000000" w:rsidRPr="00000000">
        <w:rPr>
          <w:rtl w:val="0"/>
        </w:rPr>
      </w:r>
    </w:p>
    <w:tbl>
      <w:tblPr>
        <w:tblStyle w:val="Table4"/>
        <w:tblW w:w="10079.0" w:type="dxa"/>
        <w:jc w:val="left"/>
        <w:tblInd w:w="-110.0" w:type="dxa"/>
        <w:tblBorders>
          <w:top w:color="bfbfbf" w:space="0" w:sz="6" w:val="single"/>
          <w:left w:color="000000" w:space="0" w:sz="0" w:val="nil"/>
          <w:bottom w:color="bfbfbf" w:space="0" w:sz="6" w:val="single"/>
          <w:right w:color="000000" w:space="0" w:sz="0" w:val="nil"/>
          <w:insideH w:color="bfbfbf" w:space="0" w:sz="4" w:val="single"/>
          <w:insideV w:color="000000" w:space="0" w:sz="0" w:val="nil"/>
        </w:tblBorders>
        <w:tblLayout w:type="fixed"/>
        <w:tblLook w:val="0400"/>
      </w:tblPr>
      <w:tblGrid>
        <w:gridCol w:w="2016"/>
        <w:gridCol w:w="3830"/>
        <w:gridCol w:w="4233"/>
        <w:tblGridChange w:id="0">
          <w:tblGrid>
            <w:gridCol w:w="2016"/>
            <w:gridCol w:w="3830"/>
            <w:gridCol w:w="4233"/>
          </w:tblGrid>
        </w:tblGridChange>
      </w:tblGrid>
      <w:tr>
        <w:trPr>
          <w:cantSplit w:val="1"/>
          <w:tblHeader w:val="1"/>
        </w:trPr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ON THE LUMILINK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BUILT IN-HOUSE AT PACKS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Total build hours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43-65: add-on 35-51, PACKS launch 8-14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>45-66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Monthly upkeep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4-8 hrs; shared only once other clients join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4-8 hrs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Running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Same usage plus a LumiLink add-on fee, not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Same usage plus about $120-205/month in plans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Customer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PACKS transcripts sit in LumiLink's systems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6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Stays with PACKS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LumiLink; PACKS sets persona, look and 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keepNext w:val="1"/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PACKS's one developer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Comes out ahead when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LumiLink sells it to other clients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spacing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PACKS is the only user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64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080" w:top="1080" w:left="1080" w:right="1080" w:header="640" w:footer="6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11111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9a9a9a"/>
        <w:sz w:val="15"/>
        <w:szCs w:val="15"/>
        <w:u w:val="none"/>
        <w:shd w:fill="auto" w:val="clear"/>
        <w:vertAlign w:val="baseline"/>
        <w:rtl w:val="0"/>
      </w:rPr>
      <w:t xml:space="preserve">October 15, 2026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7a7a7a"/>
        <w:sz w:val="15"/>
        <w:szCs w:val="15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0d0d0" w:space="4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11111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7a7a7a"/>
        <w:sz w:val="15"/>
        <w:szCs w:val="15"/>
        <w:u w:val="none"/>
        <w:shd w:fill="auto" w:val="clear"/>
        <w:vertAlign w:val="baseline"/>
        <w:rtl w:val="0"/>
      </w:rPr>
      <w:t xml:space="preserve">LUMILINK  ·  AI CONCIERGE SCOPE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11111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sGKcb3nM+/wQXhknWAKoAOUSNQ==">CgMxLjA4AHIhMXV6SXJSbkxlZnc1ZlBlV1RRU0o2R3BzZ205cXkwTXhk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