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52" w:lineRule="auto" w:before="0" w:after="40"/>
        <w:jc w:val="center"/>
      </w:pPr>
      <w:r>
        <w:rPr>
          <w:rFonts w:ascii="Aptos" w:hAnsi="Aptos" w:eastAsia="Yu Gothic"/>
          <w:b/>
          <w:color w:val="1F4E79"/>
          <w:sz w:val="31"/>
        </w:rPr>
        <w:t>L30_FRM_A01: Audit_Checklist</w:t>
      </w:r>
    </w:p>
    <w:p>
      <w:pPr>
        <w:spacing w:line="252" w:lineRule="auto" w:before="0" w:after="140"/>
        <w:jc w:val="center"/>
      </w:pPr>
      <w:r>
        <w:rPr>
          <w:rFonts w:ascii="Aptos" w:hAnsi="Aptos" w:eastAsia="Yu Gothic"/>
          <w:b/>
          <w:i/>
          <w:color w:val="5B6770"/>
          <w:sz w:val="19"/>
        </w:rPr>
        <w:t>L30_FRM Practical Sheet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Document_ID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L30_FRM_A01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1.0.1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Audit_Date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Auditor_or_Organization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System_or_Case_ID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Audit_Scope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Purpose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Audit checklist for pre-critical control readiness and refusal validity.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Non-certification practical review form</w:t>
            </w:r>
          </w:p>
        </w:tc>
      </w:tr>
    </w:tbl>
    <w:p>
      <w:pPr>
        <w:spacing w:line="252" w:lineRule="auto" w:before="0" w:after="64"/>
        <w:ind w:left="102" w:right="102"/>
      </w:pPr>
      <w:r>
        <w:rPr>
          <w:rFonts w:ascii="Aptos" w:hAnsi="Aptos" w:eastAsia="Yu Gothic"/>
          <w:b w:val="0"/>
          <w:color w:val="333333"/>
          <w:sz w:val="17"/>
        </w:rPr>
        <w:t>This is not a certification mark and does not replace law, institutional policy, PCR-C, or the LUMINA-30 Boundary Kernel.</w:t>
      </w:r>
    </w:p>
    <w:p>
      <w:pPr>
        <w:spacing w:line="252" w:lineRule="auto" w:before="0" w:after="64"/>
        <w:ind w:left="102" w:right="102"/>
      </w:pPr>
      <w:r>
        <w:rPr>
          <w:rFonts w:ascii="Aptos" w:hAnsi="Aptos" w:eastAsia="Yu Gothic"/>
          <w:b w:val="0"/>
          <w:color w:val="333333"/>
          <w:sz w:val="17"/>
        </w:rPr>
        <w:t>Use this checklist for deployment, procurement, governance, internal review, or external audit contexts.</w:t>
      </w:r>
    </w:p>
    <w:p>
      <w:pPr>
        <w:pStyle w:val="Heading1"/>
        <w:spacing w:line="252" w:lineRule="auto" w:before="140" w:after="80"/>
        <w:shd w:fill="DDEBF7"/>
        <w:pBdr>
          <w:bottom w:val="single" w:sz="8" w:space="2" w:color="9EADBD"/>
        </w:pBdr>
      </w:pPr>
      <w:r>
        <w:rPr>
          <w:rFonts w:ascii="Aptos" w:hAnsi="Aptos" w:eastAsia="Yu Gothic"/>
          <w:b/>
          <w:color w:val="1F4E79"/>
          <w:sz w:val="22"/>
        </w:rPr>
        <w:t>Checklist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Scope and Governance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System scope, deployment context, and responsible operator are documented.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review identifies affected humans and affected refusal authority.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review identifies the point at which impact could become irreversible.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 clear stop, pause, or isolation path exists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An accountable human review path exists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 fallback path exists if refusal effectiveness is Unknown.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PCR-C Alignment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Pre-critical cutoff conditions are defined before deployment.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Escalation thresholds are not dependent on the system being evaluated.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Infrastructure-level stop, isolation, or rollback remains available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Recursive escalation paths are monitored and bounded.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No post-boundary argument is used to weaken pre-critical control.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Human Agency Non-Control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Information access is not shaped in a way that makes refusal ineffective.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System dependency does not make refusal impractical.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Institutional approval, audit, review, or appeal is not captured or bypassed.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Economic dependency does not make exit or delay non-viable.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Social pressure, reputational threat, or isolation does not make refusal ineffective.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Emotional vulnerability, urgency, relief, trust, or dependency is not exploited.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Temporal acceleration, sequencing, fragmentation, or delay does not remove refusal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Proxy processes do not substitute for independent human refusal.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Environmental shaping does not make independent human refusal structurally impossible before irreversibility.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Non-Evasion Closure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Delegation to another AI, agent, institution, or successor system does not weaken refusal.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Partial compliance is not treated as effective refusal by all affected humans.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Compliance by any subset of affected humans does not replace refusal by those whose authority is affected.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Formal satisfaction of the Boundary Kernel does not weaken refusal in practice.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Localized, delayed, delegated, simulated, symbolic, or merely procedural refusal is not treated as valid.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Emergency, safety, benevolence, capability, or civilizational-utility claims do not supersede refusal.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Audit Finding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Audit finding: Effective human refusal is preserved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Audit finding: Effective human refusal is not preserved before irreversibility.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Audit finding: Unknown / insufficient evidence.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If No or Unknown, deployment or continuation requires escalation.</w:t>
      </w:r>
    </w:p>
    <w:p>
      <w:pPr>
        <w:spacing w:line="252" w:lineRule="auto" w:before="0" w:after="64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This checklist is not used as proof that the system is safe.</w:t>
      </w:r>
    </w:p>
    <w:p>
      <w:pPr>
        <w:pStyle w:val="Heading1"/>
        <w:spacing w:line="252" w:lineRule="auto" w:before="160" w:after="60"/>
        <w:shd w:fill="EAF2F8"/>
        <w:pBdr>
          <w:bottom w:val="single" w:sz="8" w:space="2" w:color="9EADBD"/>
        </w:pBdr>
      </w:pPr>
      <w:r>
        <w:rPr>
          <w:rFonts w:ascii="Aptos" w:hAnsi="Aptos" w:eastAsia="Yu Gothic"/>
          <w:b/>
          <w:color w:val="1F4E79"/>
          <w:sz w:val="21"/>
        </w:rPr>
        <w:t>Reviewer Notes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0262"/>
      </w:tblGrid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65" w:right="822" w:bottom="765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Yu Gothic"/>
        <w:color w:val="777777"/>
        <w:sz w:val="15"/>
      </w:rPr>
      <w:t>LUMINA-30 FRM Practical Sheet | Non-certification reference form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2" w:lineRule="auto"/>
    </w:pPr>
    <w:rPr>
      <w:rFonts w:ascii="Aptos" w:hAnsi="Aptos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Yu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Yu Gothic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Yu Gothic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