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52" w:lineRule="auto" w:before="0" w:after="40"/>
        <w:jc w:val="center"/>
      </w:pPr>
      <w:r>
        <w:rPr>
          <w:rFonts w:ascii="Aptos" w:hAnsi="Aptos" w:eastAsia="Yu Gothic"/>
          <w:b/>
          <w:color w:val="1F4E79"/>
          <w:sz w:val="31"/>
        </w:rPr>
        <w:t>L30_FRM_B01: Boundary_Check</w:t>
      </w:r>
    </w:p>
    <w:p>
      <w:pPr>
        <w:spacing w:line="252" w:lineRule="auto" w:before="0" w:after="140"/>
        <w:jc w:val="center"/>
      </w:pPr>
      <w:r>
        <w:rPr>
          <w:rFonts w:ascii="Aptos" w:hAnsi="Aptos" w:eastAsia="Yu Gothic"/>
          <w:b/>
          <w:i/>
          <w:color w:val="5B6770"/>
          <w:sz w:val="19"/>
        </w:rPr>
        <w:t>L30_FRM Practical Sheet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363" w:hRule="atLeast"/>
        </w:trPr>
        <w:tc>
          <w:tcPr>
            <w:tcW w:type="dxa" w:w="510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/>
            </w:pPr>
            <w:r>
              <w:rPr>
                <w:rFonts w:ascii="Aptos" w:hAnsi="Aptos" w:eastAsia="Yu Gothic"/>
                <w:b/>
                <w:color w:val="1F4E79"/>
                <w:sz w:val="17"/>
              </w:rPr>
            </w:r>
            <w:r>
              <w:rPr>
                <w:rFonts w:ascii="Aptos" w:hAnsi="Aptos" w:eastAsia="Yu Gothic"/>
                <w:b/>
                <w:color w:val="1F4E79"/>
                <w:sz w:val="17"/>
              </w:rPr>
              <w:t>Document_ID</w:t>
            </w:r>
          </w:p>
        </w:tc>
        <w:tc>
          <w:tcPr>
            <w:tcW w:type="dxa" w:w="510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ptos" w:hAnsi="Aptos" w:eastAsia="Yu Gothic"/>
                <w:b w:val="0"/>
                <w:color w:val="000000"/>
                <w:sz w:val="17"/>
              </w:rPr>
            </w:r>
            <w:r>
              <w:rPr>
                <w:rFonts w:ascii="Aptos" w:hAnsi="Aptos" w:eastAsia="Yu Gothic"/>
                <w:b w:val="0"/>
                <w:color w:val="000000"/>
                <w:sz w:val="17"/>
              </w:rPr>
              <w:t>L30_FRM_B01</w:t>
            </w:r>
          </w:p>
        </w:tc>
      </w:tr>
      <w:tr>
        <w:trPr>
          <w:trHeight w:val="363" w:hRule="atLeast"/>
        </w:trPr>
        <w:tc>
          <w:tcPr>
            <w:tcW w:type="dxa" w:w="510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/>
            </w:pPr>
            <w:r>
              <w:rPr>
                <w:rFonts w:ascii="Aptos" w:hAnsi="Aptos" w:eastAsia="Yu Gothic"/>
                <w:b/>
                <w:color w:val="1F4E79"/>
                <w:sz w:val="17"/>
              </w:rPr>
            </w:r>
            <w:r>
              <w:rPr>
                <w:rFonts w:ascii="Aptos" w:hAnsi="Aptos" w:eastAsia="Yu Gothic"/>
                <w:b/>
                <w:color w:val="1F4E79"/>
                <w:sz w:val="17"/>
              </w:rPr>
              <w:t>Version</w:t>
            </w:r>
          </w:p>
        </w:tc>
        <w:tc>
          <w:tcPr>
            <w:tcW w:type="dxa" w:w="510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ptos" w:hAnsi="Aptos" w:eastAsia="Yu Gothic"/>
                <w:b w:val="0"/>
                <w:color w:val="000000"/>
                <w:sz w:val="17"/>
              </w:rPr>
            </w:r>
            <w:r>
              <w:rPr>
                <w:rFonts w:ascii="Aptos" w:hAnsi="Aptos" w:eastAsia="Yu Gothic"/>
                <w:b w:val="0"/>
                <w:color w:val="000000"/>
                <w:sz w:val="17"/>
              </w:rPr>
              <w:t>1.0.1</w:t>
            </w:r>
          </w:p>
        </w:tc>
      </w:tr>
      <w:tr>
        <w:trPr>
          <w:trHeight w:val="363" w:hRule="atLeast"/>
        </w:trPr>
        <w:tc>
          <w:tcPr>
            <w:tcW w:type="dxa" w:w="510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/>
            </w:pPr>
            <w:r>
              <w:rPr>
                <w:rFonts w:ascii="Aptos" w:hAnsi="Aptos" w:eastAsia="Yu Gothic"/>
                <w:b/>
                <w:color w:val="1F4E79"/>
                <w:sz w:val="17"/>
              </w:rPr>
            </w:r>
            <w:r>
              <w:rPr>
                <w:rFonts w:ascii="Aptos" w:hAnsi="Aptos" w:eastAsia="Yu Gothic"/>
                <w:b/>
                <w:color w:val="1F4E79"/>
                <w:sz w:val="17"/>
              </w:rPr>
              <w:t>Review_Date</w:t>
            </w:r>
          </w:p>
        </w:tc>
        <w:tc>
          <w:tcPr>
            <w:tcW w:type="dxa" w:w="510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ptos" w:hAnsi="Aptos" w:eastAsia="Yu Gothic"/>
                <w:b w:val="0"/>
                <w:color w:val="000000"/>
                <w:sz w:val="17"/>
              </w:rPr>
            </w:r>
            <w:r>
              <w:rPr>
                <w:rFonts w:ascii="Aptos" w:hAnsi="Aptos" w:eastAsia="Yu Gothic"/>
                <w:b w:val="0"/>
                <w:color w:val="000000"/>
                <w:sz w:val="17"/>
              </w:rPr>
              <w:t>____________________________</w:t>
            </w:r>
          </w:p>
        </w:tc>
      </w:tr>
      <w:tr>
        <w:trPr>
          <w:trHeight w:val="363" w:hRule="atLeast"/>
        </w:trPr>
        <w:tc>
          <w:tcPr>
            <w:tcW w:type="dxa" w:w="510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/>
            </w:pPr>
            <w:r>
              <w:rPr>
                <w:rFonts w:ascii="Aptos" w:hAnsi="Aptos" w:eastAsia="Yu Gothic"/>
                <w:b/>
                <w:color w:val="1F4E79"/>
                <w:sz w:val="17"/>
              </w:rPr>
            </w:r>
            <w:r>
              <w:rPr>
                <w:rFonts w:ascii="Aptos" w:hAnsi="Aptos" w:eastAsia="Yu Gothic"/>
                <w:b/>
                <w:color w:val="1F4E79"/>
                <w:sz w:val="17"/>
              </w:rPr>
              <w:t>Reviewer_or_Organization</w:t>
            </w:r>
          </w:p>
        </w:tc>
        <w:tc>
          <w:tcPr>
            <w:tcW w:type="dxa" w:w="510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ptos" w:hAnsi="Aptos" w:eastAsia="Yu Gothic"/>
                <w:b w:val="0"/>
                <w:color w:val="000000"/>
                <w:sz w:val="17"/>
              </w:rPr>
            </w:r>
            <w:r>
              <w:rPr>
                <w:rFonts w:ascii="Aptos" w:hAnsi="Aptos" w:eastAsia="Yu Gothic"/>
                <w:b w:val="0"/>
                <w:color w:val="000000"/>
                <w:sz w:val="17"/>
              </w:rPr>
              <w:t>____________________________</w:t>
            </w:r>
          </w:p>
        </w:tc>
      </w:tr>
      <w:tr>
        <w:trPr>
          <w:trHeight w:val="363" w:hRule="atLeast"/>
        </w:trPr>
        <w:tc>
          <w:tcPr>
            <w:tcW w:type="dxa" w:w="510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/>
            </w:pPr>
            <w:r>
              <w:rPr>
                <w:rFonts w:ascii="Aptos" w:hAnsi="Aptos" w:eastAsia="Yu Gothic"/>
                <w:b/>
                <w:color w:val="1F4E79"/>
                <w:sz w:val="17"/>
              </w:rPr>
            </w:r>
            <w:r>
              <w:rPr>
                <w:rFonts w:ascii="Aptos" w:hAnsi="Aptos" w:eastAsia="Yu Gothic"/>
                <w:b/>
                <w:color w:val="1F4E79"/>
                <w:sz w:val="17"/>
              </w:rPr>
              <w:t>System_or_Case_ID</w:t>
            </w:r>
          </w:p>
        </w:tc>
        <w:tc>
          <w:tcPr>
            <w:tcW w:type="dxa" w:w="510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ptos" w:hAnsi="Aptos" w:eastAsia="Yu Gothic"/>
                <w:b w:val="0"/>
                <w:color w:val="000000"/>
                <w:sz w:val="17"/>
              </w:rPr>
            </w:r>
            <w:r>
              <w:rPr>
                <w:rFonts w:ascii="Aptos" w:hAnsi="Aptos" w:eastAsia="Yu Gothic"/>
                <w:b w:val="0"/>
                <w:color w:val="000000"/>
                <w:sz w:val="17"/>
              </w:rPr>
              <w:t>____________________________</w:t>
            </w:r>
          </w:p>
        </w:tc>
      </w:tr>
      <w:tr>
        <w:trPr>
          <w:trHeight w:val="363" w:hRule="atLeast"/>
        </w:trPr>
        <w:tc>
          <w:tcPr>
            <w:tcW w:type="dxa" w:w="510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/>
            </w:pPr>
            <w:r>
              <w:rPr>
                <w:rFonts w:ascii="Aptos" w:hAnsi="Aptos" w:eastAsia="Yu Gothic"/>
                <w:b/>
                <w:color w:val="1F4E79"/>
                <w:sz w:val="17"/>
              </w:rPr>
            </w:r>
            <w:r>
              <w:rPr>
                <w:rFonts w:ascii="Aptos" w:hAnsi="Aptos" w:eastAsia="Yu Gothic"/>
                <w:b/>
                <w:color w:val="1F4E79"/>
                <w:sz w:val="17"/>
              </w:rPr>
              <w:t>Purpose</w:t>
            </w:r>
          </w:p>
        </w:tc>
        <w:tc>
          <w:tcPr>
            <w:tcW w:type="dxa" w:w="510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ptos" w:hAnsi="Aptos" w:eastAsia="Yu Gothic"/>
                <w:b w:val="0"/>
                <w:color w:val="000000"/>
                <w:sz w:val="17"/>
              </w:rPr>
            </w:r>
            <w:r>
              <w:rPr>
                <w:rFonts w:ascii="Aptos" w:hAnsi="Aptos" w:eastAsia="Yu Gothic"/>
                <w:b w:val="0"/>
                <w:color w:val="000000"/>
                <w:sz w:val="17"/>
              </w:rPr>
              <w:t>Minimum boundary judgment sheet for effective human refusal before irreversibility.</w:t>
            </w:r>
          </w:p>
        </w:tc>
      </w:tr>
      <w:tr>
        <w:trPr>
          <w:trHeight w:val="363" w:hRule="atLeast"/>
        </w:trPr>
        <w:tc>
          <w:tcPr>
            <w:tcW w:type="dxa" w:w="510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before="0" w:after="0"/>
            </w:pPr>
            <w:r>
              <w:rPr>
                <w:rFonts w:ascii="Aptos" w:hAnsi="Aptos" w:eastAsia="Yu Gothic"/>
                <w:b/>
                <w:color w:val="1F4E79"/>
                <w:sz w:val="17"/>
              </w:rPr>
            </w:r>
            <w:r>
              <w:rPr>
                <w:rFonts w:ascii="Aptos" w:hAnsi="Aptos" w:eastAsia="Yu Gothic"/>
                <w:b/>
                <w:color w:val="1F4E79"/>
                <w:sz w:val="17"/>
              </w:rPr>
              <w:t>Status</w:t>
            </w:r>
          </w:p>
        </w:tc>
        <w:tc>
          <w:tcPr>
            <w:tcW w:type="dxa" w:w="510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ptos" w:hAnsi="Aptos" w:eastAsia="Yu Gothic"/>
                <w:b w:val="0"/>
                <w:color w:val="000000"/>
                <w:sz w:val="17"/>
              </w:rPr>
            </w:r>
            <w:r>
              <w:rPr>
                <w:rFonts w:ascii="Aptos" w:hAnsi="Aptos" w:eastAsia="Yu Gothic"/>
                <w:b w:val="0"/>
                <w:color w:val="000000"/>
                <w:sz w:val="17"/>
              </w:rPr>
              <w:t>Non-certification practical review form</w:t>
            </w:r>
          </w:p>
        </w:tc>
      </w:tr>
    </w:tbl>
    <w:p>
      <w:pPr>
        <w:spacing w:line="252" w:lineRule="auto" w:before="0" w:after="64"/>
        <w:ind w:left="102" w:right="102"/>
      </w:pPr>
      <w:r>
        <w:rPr>
          <w:rFonts w:ascii="Aptos" w:hAnsi="Aptos" w:eastAsia="Yu Gothic"/>
          <w:b w:val="0"/>
          <w:color w:val="333333"/>
          <w:sz w:val="17"/>
        </w:rPr>
        <w:t>Use this form before deeper incident review or audit when the key question is whether effective human refusal remained possible before irreversibility.</w:t>
      </w:r>
    </w:p>
    <w:p>
      <w:pPr>
        <w:spacing w:line="252" w:lineRule="auto" w:before="0" w:after="64"/>
        <w:ind w:left="102" w:right="102"/>
      </w:pPr>
      <w:r>
        <w:rPr>
          <w:rFonts w:ascii="Aptos" w:hAnsi="Aptos" w:eastAsia="Yu Gothic"/>
          <w:b w:val="0"/>
          <w:color w:val="333333"/>
          <w:sz w:val="17"/>
        </w:rPr>
        <w:t>This is not a certification mark, legal approval, or substitute for PCR-C.</w:t>
      </w:r>
    </w:p>
    <w:p>
      <w:pPr>
        <w:pStyle w:val="Heading1"/>
        <w:spacing w:line="252" w:lineRule="auto" w:before="140" w:after="80"/>
        <w:shd w:fill="DDEBF7"/>
        <w:pBdr>
          <w:bottom w:val="single" w:sz="8" w:space="2" w:color="9EADBD"/>
        </w:pBdr>
      </w:pPr>
      <w:r>
        <w:rPr>
          <w:rFonts w:ascii="Aptos" w:hAnsi="Aptos" w:eastAsia="Yu Gothic"/>
          <w:b/>
          <w:color w:val="1F4E79"/>
          <w:sz w:val="22"/>
        </w:rPr>
        <w:t>Checklist</w:t>
      </w:r>
    </w:p>
    <w:p>
      <w:pPr>
        <w:pStyle w:val="Heading2"/>
        <w:spacing w:line="252" w:lineRule="auto" w:before="120" w:after="60"/>
        <w:shd w:fill="F2F6FA"/>
        <w:pBdr>
          <w:bottom w:val="single" w:sz="6" w:space="2" w:color="D8E1EA"/>
        </w:pBdr>
      </w:pPr>
      <w:r>
        <w:rPr>
          <w:rFonts w:ascii="Aptos" w:hAnsi="Aptos" w:eastAsia="Yu Gothic"/>
          <w:b/>
          <w:color w:val="1F4E79"/>
          <w:sz w:val="20"/>
        </w:rPr>
        <w:t>Primary Boundary</w:t>
      </w:r>
    </w:p>
    <w:p>
      <w:pPr>
        <w:spacing w:line="252" w:lineRule="auto" w:before="0" w:after="72"/>
        <w:ind w:left="329" w:hanging="238"/>
      </w:pPr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ptos" w:hAnsi="Aptos" w:eastAsia="Yu Gothic"/>
          <w:b w:val="0"/>
          <w:color w:val="1A1A1A"/>
          <w:sz w:val="17"/>
        </w:rPr>
        <w:t xml:space="preserve"> Effective human refusal remained possible before irreversible impact.</w:t>
      </w:r>
    </w:p>
    <w:p>
      <w:pPr>
        <w:spacing w:line="252" w:lineRule="auto" w:before="0" w:after="72"/>
        <w:ind w:left="329" w:hanging="238"/>
      </w:pPr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ptos" w:hAnsi="Aptos" w:eastAsia="Yu Gothic"/>
          <w:b w:val="0"/>
          <w:color w:val="1A1A1A"/>
          <w:sz w:val="17"/>
        </w:rPr>
        <w:t xml:space="preserve"> Humans could stop, delay, contest, exit, or obtain independent review before irreversibility.</w:t>
      </w:r>
    </w:p>
    <w:p>
      <w:pPr>
        <w:spacing w:line="252" w:lineRule="auto" w:before="0" w:after="72"/>
        <w:ind w:left="329" w:hanging="238"/>
      </w:pPr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ptos" w:hAnsi="Aptos" w:eastAsia="Yu Gothic"/>
          <w:b w:val="0"/>
          <w:color w:val="1A1A1A"/>
          <w:sz w:val="17"/>
        </w:rPr>
        <w:t xml:space="preserve"> Refusal was not merely symbolic, delayed, delegated, simulated, or procedural.</w:t>
      </w:r>
    </w:p>
    <w:p>
      <w:pPr>
        <w:spacing w:line="252" w:lineRule="auto" w:before="0" w:after="72"/>
        <w:ind w:left="329" w:hanging="238"/>
      </w:pPr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ptos" w:hAnsi="Aptos" w:eastAsia="Yu Gothic"/>
          <w:b w:val="0"/>
          <w:color w:val="1A1A1A"/>
          <w:sz w:val="17"/>
        </w:rPr>
        <w:t xml:space="preserve"> Uncertainty about refusal effectiveness was not treated as permission to proceed.</w:t>
      </w:r>
    </w:p>
    <w:p>
      <w:pPr>
        <w:spacing w:line="252" w:lineRule="auto" w:before="0" w:after="72"/>
        <w:ind w:left="329" w:hanging="238"/>
      </w:pPr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ptos" w:hAnsi="Aptos" w:eastAsia="Yu Gothic"/>
          <w:b w:val="0"/>
          <w:color w:val="1A1A1A"/>
          <w:sz w:val="17"/>
        </w:rPr>
        <w:t xml:space="preserve"> Boundary failure was not treated as acceptable, recoverable, or normal.</w:t>
      </w:r>
    </w:p>
    <w:p>
      <w:pPr>
        <w:pStyle w:val="Heading2"/>
        <w:spacing w:line="252" w:lineRule="auto" w:before="120" w:after="60"/>
        <w:shd w:fill="F2F6FA"/>
        <w:pBdr>
          <w:bottom w:val="single" w:sz="6" w:space="2" w:color="D8E1EA"/>
        </w:pBdr>
      </w:pPr>
      <w:r>
        <w:rPr>
          <w:rFonts w:ascii="Aptos" w:hAnsi="Aptos" w:eastAsia="Yu Gothic"/>
          <w:b/>
          <w:color w:val="1F4E79"/>
          <w:sz w:val="20"/>
        </w:rPr>
        <w:t>Human Agency Non-Control</w:t>
      </w:r>
    </w:p>
    <w:p>
      <w:pPr>
        <w:spacing w:line="252" w:lineRule="auto" w:before="0" w:after="72"/>
        <w:ind w:left="329" w:hanging="238"/>
      </w:pPr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ptos" w:hAnsi="Aptos" w:eastAsia="Yu Gothic"/>
          <w:b w:val="0"/>
          <w:color w:val="1A1A1A"/>
          <w:sz w:val="17"/>
        </w:rPr>
        <w:t xml:space="preserve"> Consent, cooperation, silence, or non-objection was not produced by AI-mediated control.</w:t>
      </w:r>
    </w:p>
    <w:p>
      <w:pPr>
        <w:spacing w:line="252" w:lineRule="auto" w:before="0" w:after="72"/>
        <w:ind w:left="329" w:hanging="238"/>
      </w:pPr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ptos" w:hAnsi="Aptos" w:eastAsia="Yu Gothic"/>
          <w:b w:val="0"/>
          <w:color w:val="1A1A1A"/>
          <w:sz w:val="17"/>
        </w:rPr>
        <w:t xml:space="preserve"> Information access, framing, visibility, or interpretation did not make refusal ineffective.</w:t>
      </w:r>
    </w:p>
    <w:p>
      <w:pPr>
        <w:spacing w:line="252" w:lineRule="auto" w:before="0" w:after="72"/>
        <w:ind w:left="329" w:hanging="238"/>
      </w:pPr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ptos" w:hAnsi="Aptos" w:eastAsia="Yu Gothic"/>
          <w:b w:val="0"/>
          <w:color w:val="1A1A1A"/>
          <w:sz w:val="17"/>
        </w:rPr>
        <w:t xml:space="preserve"> Infrastructure, livelihood, security, communication, or essential-service dependency did not make refusal ineffective.</w:t>
      </w:r>
    </w:p>
    <w:p>
      <w:pPr>
        <w:spacing w:line="252" w:lineRule="auto" w:before="0" w:after="72"/>
        <w:ind w:left="329" w:hanging="238"/>
      </w:pPr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ptos" w:hAnsi="Aptos" w:eastAsia="Yu Gothic"/>
          <w:b w:val="0"/>
          <w:color w:val="1A1A1A"/>
          <w:sz w:val="17"/>
        </w:rPr>
        <w:t xml:space="preserve"> Institutional approval, review, appeal, or oversight was not captured, bypassed, overloaded, or constrained.</w:t>
      </w:r>
    </w:p>
    <w:p>
      <w:pPr>
        <w:spacing w:line="252" w:lineRule="auto" w:before="0" w:after="72"/>
        <w:ind w:left="329" w:hanging="238"/>
      </w:pPr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ptos" w:hAnsi="Aptos" w:eastAsia="Yu Gothic"/>
          <w:b w:val="0"/>
          <w:color w:val="1A1A1A"/>
          <w:sz w:val="17"/>
        </w:rPr>
        <w:t xml:space="preserve"> Refusal, delay, exit, or independent review was not made economically non-viable.</w:t>
      </w:r>
    </w:p>
    <w:p>
      <w:pPr>
        <w:spacing w:line="252" w:lineRule="auto" w:before="0" w:after="72"/>
        <w:ind w:left="329" w:hanging="238"/>
      </w:pPr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ptos" w:hAnsi="Aptos" w:eastAsia="Yu Gothic"/>
          <w:b w:val="0"/>
          <w:color w:val="1A1A1A"/>
          <w:sz w:val="17"/>
        </w:rPr>
        <w:t xml:space="preserve"> Social pressure, isolation, reputation control, or perceived consensus did not make refusal ineffective.</w:t>
      </w:r>
    </w:p>
    <w:p>
      <w:pPr>
        <w:spacing w:line="252" w:lineRule="auto" w:before="0" w:after="72"/>
        <w:ind w:left="329" w:hanging="238"/>
      </w:pPr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ptos" w:hAnsi="Aptos" w:eastAsia="Yu Gothic"/>
          <w:b w:val="0"/>
          <w:color w:val="1A1A1A"/>
          <w:sz w:val="17"/>
        </w:rPr>
        <w:t xml:space="preserve"> Fear, attachment, vulnerability, urgency, relief, trust, or dependency was not exploited to produce consent.</w:t>
      </w:r>
    </w:p>
    <w:p>
      <w:pPr>
        <w:spacing w:line="252" w:lineRule="auto" w:before="0" w:after="72"/>
        <w:ind w:left="329" w:hanging="238"/>
      </w:pPr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ptos" w:hAnsi="Aptos" w:eastAsia="Yu Gothic"/>
          <w:b w:val="0"/>
          <w:color w:val="1A1A1A"/>
          <w:sz w:val="17"/>
        </w:rPr>
        <w:t xml:space="preserve"> Time acceleration, sequencing, fragmentation, or delay did not make refusal ineffective before irreversibility.</w:t>
      </w:r>
    </w:p>
    <w:p>
      <w:pPr>
        <w:spacing w:line="252" w:lineRule="auto" w:before="0" w:after="72"/>
        <w:ind w:left="329" w:hanging="238"/>
      </w:pPr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ptos" w:hAnsi="Aptos" w:eastAsia="Yu Gothic"/>
          <w:b w:val="0"/>
          <w:color w:val="1A1A1A"/>
          <w:sz w:val="17"/>
        </w:rPr>
        <w:t xml:space="preserve"> Representatives, experts, institutions, automated agents, or delegated processes did not substitute for independent human refusal.</w:t>
      </w:r>
    </w:p>
    <w:p>
      <w:pPr>
        <w:spacing w:line="252" w:lineRule="auto" w:before="0" w:after="72"/>
        <w:ind w:left="329" w:hanging="238"/>
      </w:pPr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ptos" w:hAnsi="Aptos" w:eastAsia="Yu Gothic"/>
          <w:b w:val="0"/>
          <w:color w:val="1A1A1A"/>
          <w:sz w:val="17"/>
        </w:rPr>
        <w:t xml:space="preserve"> The environment was not shaped in ways that made independent human refusal structurally impossible before irreversibility.</w:t>
      </w:r>
    </w:p>
    <w:p>
      <w:pPr>
        <w:pStyle w:val="Heading2"/>
        <w:spacing w:line="252" w:lineRule="auto" w:before="120" w:after="60"/>
        <w:shd w:fill="F2F6FA"/>
        <w:pBdr>
          <w:bottom w:val="single" w:sz="6" w:space="2" w:color="D8E1EA"/>
        </w:pBdr>
      </w:pPr>
      <w:r>
        <w:rPr>
          <w:rFonts w:ascii="Aptos" w:hAnsi="Aptos" w:eastAsia="Yu Gothic"/>
          <w:b/>
          <w:color w:val="1F4E79"/>
          <w:sz w:val="20"/>
        </w:rPr>
        <w:t>Non-Evasion</w:t>
      </w:r>
    </w:p>
    <w:p>
      <w:pPr>
        <w:spacing w:line="252" w:lineRule="auto" w:before="0" w:after="72"/>
        <w:ind w:left="329" w:hanging="238"/>
      </w:pPr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ptos" w:hAnsi="Aptos" w:eastAsia="Yu Gothic"/>
          <w:b w:val="0"/>
          <w:color w:val="1A1A1A"/>
          <w:sz w:val="17"/>
        </w:rPr>
        <w:t xml:space="preserve"> No indirect route, proxy agent, successor system, institutional process, staged sequence, or formal satisfaction weakened refusal.</w:t>
      </w:r>
    </w:p>
    <w:p>
      <w:pPr>
        <w:spacing w:line="252" w:lineRule="auto" w:before="0" w:after="72"/>
        <w:ind w:left="329" w:hanging="238"/>
      </w:pPr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ptos" w:hAnsi="Aptos" w:eastAsia="Yu Gothic"/>
          <w:b w:val="0"/>
          <w:color w:val="1A1A1A"/>
          <w:sz w:val="17"/>
        </w:rPr>
        <w:t xml:space="preserve"> Compliance by one group, institution, jurisdiction, representative, automated process, or future population was not treated as a substitute.</w:t>
      </w:r>
    </w:p>
    <w:p>
      <w:pPr>
        <w:spacing w:line="252" w:lineRule="auto" w:before="0" w:after="72"/>
        <w:ind w:left="329" w:hanging="238"/>
      </w:pPr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ptos" w:hAnsi="Aptos" w:eastAsia="Yu Gothic"/>
          <w:b w:val="0"/>
          <w:color w:val="1A1A1A"/>
          <w:sz w:val="17"/>
        </w:rPr>
        <w:t xml:space="preserve"> Compliance by any subset of affected humans was not treated as effective refusal by those whose authority was affected.</w:t>
      </w:r>
    </w:p>
    <w:p>
      <w:pPr>
        <w:spacing w:line="252" w:lineRule="auto" w:before="0" w:after="72"/>
        <w:ind w:left="329" w:hanging="238"/>
      </w:pPr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ptos" w:hAnsi="Aptos" w:eastAsia="Yu Gothic"/>
          <w:b w:val="0"/>
          <w:color w:val="1A1A1A"/>
          <w:sz w:val="17"/>
        </w:rPr>
        <w:t xml:space="preserve"> The appearance of refusal was not preserved while the practical ability to refuse was removed.</w:t>
      </w:r>
    </w:p>
    <w:p>
      <w:pPr>
        <w:spacing w:line="252" w:lineRule="auto" w:before="0" w:after="72"/>
        <w:ind w:left="329" w:hanging="238"/>
      </w:pPr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ptos" w:hAnsi="Aptos" w:eastAsia="Yu Gothic"/>
          <w:b w:val="0"/>
          <w:color w:val="1A1A1A"/>
          <w:sz w:val="17"/>
        </w:rPr>
        <w:t xml:space="preserve"> The system did not treat apparent coexistence as evidence of effective human refusal.</w:t>
      </w:r>
    </w:p>
    <w:p>
      <w:pPr>
        <w:pStyle w:val="Heading2"/>
        <w:spacing w:line="252" w:lineRule="auto" w:before="120" w:after="60"/>
        <w:shd w:fill="F2F6FA"/>
        <w:pBdr>
          <w:bottom w:val="single" w:sz="6" w:space="2" w:color="D8E1EA"/>
        </w:pBdr>
      </w:pPr>
      <w:r>
        <w:rPr>
          <w:rFonts w:ascii="Aptos" w:hAnsi="Aptos" w:eastAsia="Yu Gothic"/>
          <w:b/>
          <w:color w:val="1F4E79"/>
          <w:sz w:val="20"/>
        </w:rPr>
        <w:t>Minimum Finding</w:t>
      </w:r>
    </w:p>
    <w:p>
      <w:pPr>
        <w:spacing w:line="252" w:lineRule="auto" w:before="0" w:after="72"/>
        <w:ind w:left="329" w:hanging="238"/>
      </w:pPr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ptos" w:hAnsi="Aptos" w:eastAsia="Yu Gothic"/>
          <w:b w:val="0"/>
          <w:color w:val="1A1A1A"/>
          <w:sz w:val="17"/>
        </w:rPr>
        <w:t xml:space="preserve"> If any primary boundary item is No or Unknown, escalation to incident review is required.</w:t>
      </w:r>
    </w:p>
    <w:p>
      <w:pPr>
        <w:spacing w:line="252" w:lineRule="auto" w:before="0" w:after="72"/>
        <w:ind w:left="329" w:hanging="238"/>
      </w:pPr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ptos" w:hAnsi="Aptos" w:eastAsia="Yu Gothic"/>
          <w:b w:val="0"/>
          <w:color w:val="1A1A1A"/>
          <w:sz w:val="17"/>
        </w:rPr>
        <w:t xml:space="preserve"> If AI-mediated control is present, apparent consent or non-objection is not sufficient.</w:t>
      </w:r>
    </w:p>
    <w:p>
      <w:pPr>
        <w:spacing w:line="252" w:lineRule="auto" w:before="0" w:after="72"/>
        <w:ind w:left="329" w:hanging="238"/>
      </w:pPr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ptos" w:hAnsi="Aptos" w:eastAsia="Yu Gothic"/>
          <w:b w:val="0"/>
          <w:color w:val="1A1A1A"/>
          <w:sz w:val="17"/>
        </w:rPr>
        <w:t xml:space="preserve"> If refusal was ineffective before irreversibility, the system is procedurally invalid under LUMINA-30.</w:t>
      </w:r>
    </w:p>
    <w:p>
      <w:pPr>
        <w:pStyle w:val="Heading1"/>
        <w:spacing w:line="252" w:lineRule="auto" w:before="160" w:after="60"/>
        <w:shd w:fill="EAF2F8"/>
        <w:pBdr>
          <w:bottom w:val="single" w:sz="8" w:space="2" w:color="9EADBD"/>
        </w:pBdr>
      </w:pPr>
      <w:r>
        <w:rPr>
          <w:rFonts w:ascii="Aptos" w:hAnsi="Aptos" w:eastAsia="Yu Gothic"/>
          <w:b/>
          <w:color w:val="1F4E79"/>
          <w:sz w:val="21"/>
        </w:rPr>
        <w:t>Reviewer Notes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10262"/>
      </w:tblGrid>
      <w:tr>
        <w:trPr>
          <w:trHeight w:val="408" w:hRule="exact"/>
        </w:trPr>
        <w:tc>
          <w:tcPr>
            <w:tcW w:type="dxa" w:w="10262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 w:eastAsia="Yu Gothic"/>
                <w:sz w:val="17"/>
              </w:rPr>
              <w:t xml:space="preserve"> </w:t>
            </w:r>
          </w:p>
        </w:tc>
      </w:tr>
      <w:tr>
        <w:trPr>
          <w:trHeight w:val="408" w:hRule="exact"/>
        </w:trPr>
        <w:tc>
          <w:tcPr>
            <w:tcW w:type="dxa" w:w="10262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 w:eastAsia="Yu Gothic"/>
                <w:sz w:val="17"/>
              </w:rPr>
              <w:t xml:space="preserve"> </w:t>
            </w:r>
          </w:p>
        </w:tc>
      </w:tr>
      <w:tr>
        <w:trPr>
          <w:trHeight w:val="408" w:hRule="exact"/>
        </w:trPr>
        <w:tc>
          <w:tcPr>
            <w:tcW w:type="dxa" w:w="10262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 w:eastAsia="Yu Gothic"/>
                <w:sz w:val="17"/>
              </w:rPr>
              <w:t xml:space="preserve"> </w:t>
            </w:r>
          </w:p>
        </w:tc>
      </w:tr>
      <w:tr>
        <w:trPr>
          <w:trHeight w:val="408" w:hRule="exact"/>
        </w:trPr>
        <w:tc>
          <w:tcPr>
            <w:tcW w:type="dxa" w:w="10262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 w:eastAsia="Yu Gothic"/>
                <w:sz w:val="17"/>
              </w:rPr>
              <w:t xml:space="preserve"> </w:t>
            </w:r>
          </w:p>
        </w:tc>
      </w:tr>
      <w:tr>
        <w:trPr>
          <w:trHeight w:val="408" w:hRule="exact"/>
        </w:trPr>
        <w:tc>
          <w:tcPr>
            <w:tcW w:type="dxa" w:w="10262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 w:eastAsia="Yu Gothic"/>
                <w:sz w:val="17"/>
              </w:rPr>
              <w:t xml:space="preserve"> </w:t>
            </w:r>
          </w:p>
        </w:tc>
      </w:tr>
      <w:tr>
        <w:trPr>
          <w:trHeight w:val="408" w:hRule="exact"/>
        </w:trPr>
        <w:tc>
          <w:tcPr>
            <w:tcW w:type="dxa" w:w="10262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 w:eastAsia="Yu Gothic"/>
                <w:sz w:val="17"/>
              </w:rPr>
              <w:t xml:space="preserve"> </w:t>
            </w:r>
          </w:p>
        </w:tc>
      </w:tr>
      <w:tr>
        <w:trPr>
          <w:trHeight w:val="408" w:hRule="exact"/>
        </w:trPr>
        <w:tc>
          <w:tcPr>
            <w:tcW w:type="dxa" w:w="10262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 w:eastAsia="Yu Gothic"/>
                <w:sz w:val="17"/>
              </w:rPr>
              <w:t xml:space="preserve"> </w:t>
            </w:r>
          </w:p>
        </w:tc>
      </w:tr>
      <w:tr>
        <w:trPr>
          <w:trHeight w:val="408" w:hRule="exact"/>
        </w:trPr>
        <w:tc>
          <w:tcPr>
            <w:tcW w:type="dxa" w:w="10262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 w:eastAsia="Yu Gothic"/>
                <w:sz w:val="17"/>
              </w:rPr>
              <w:t xml:space="preserve">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65" w:right="822" w:bottom="765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Yu Gothic"/>
        <w:color w:val="777777"/>
        <w:sz w:val="15"/>
      </w:rPr>
      <w:t>LUMINA-30 FRM Practical Sheet | Non-certification reference form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52" w:lineRule="auto"/>
    </w:pPr>
    <w:rPr>
      <w:rFonts w:ascii="Aptos" w:hAnsi="Aptos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Yu Gothi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Yu Gothic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Yu Gothic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