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52" w:lineRule="auto" w:before="0" w:after="40"/>
        <w:jc w:val="center"/>
      </w:pPr>
      <w:r>
        <w:rPr>
          <w:rFonts w:ascii="Aptos" w:hAnsi="Aptos" w:eastAsia="Yu Gothic"/>
          <w:b/>
          <w:color w:val="1F4E79"/>
          <w:sz w:val="31"/>
        </w:rPr>
        <w:t>L30_FRM_I01: Incident_Review_Template</w:t>
      </w:r>
    </w:p>
    <w:p>
      <w:pPr>
        <w:spacing w:line="252" w:lineRule="auto" w:before="0" w:after="140"/>
        <w:jc w:val="center"/>
      </w:pPr>
      <w:r>
        <w:rPr>
          <w:rFonts w:ascii="Aptos" w:hAnsi="Aptos" w:eastAsia="Yu Gothic"/>
          <w:b/>
          <w:i/>
          <w:color w:val="5B6770"/>
          <w:sz w:val="19"/>
        </w:rPr>
        <w:t>L30_FRM Practical Sheet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rPr>
          <w:trHeight w:val="363" w:hRule="atLeast"/>
        </w:trPr>
        <w:tc>
          <w:tcPr>
            <w:tcW w:type="dxa" w:w="51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before="0" w:after="0"/>
            </w:pPr>
            <w:r>
              <w:rPr>
                <w:rFonts w:ascii="Aptos" w:hAnsi="Aptos" w:eastAsia="Yu Gothic"/>
                <w:b/>
                <w:color w:val="1F4E79"/>
                <w:sz w:val="17"/>
              </w:rPr>
            </w:r>
            <w:r>
              <w:rPr>
                <w:rFonts w:ascii="Aptos" w:hAnsi="Aptos" w:eastAsia="Yu Gothic"/>
                <w:b/>
                <w:color w:val="1F4E79"/>
                <w:sz w:val="17"/>
              </w:rPr>
              <w:t>Document_ID</w:t>
            </w:r>
          </w:p>
        </w:tc>
        <w:tc>
          <w:tcPr>
            <w:tcW w:type="dxa" w:w="51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ptos" w:hAnsi="Aptos" w:eastAsia="Yu Gothic"/>
                <w:b w:val="0"/>
                <w:color w:val="000000"/>
                <w:sz w:val="17"/>
              </w:rPr>
            </w:r>
            <w:r>
              <w:rPr>
                <w:rFonts w:ascii="Aptos" w:hAnsi="Aptos" w:eastAsia="Yu Gothic"/>
                <w:b w:val="0"/>
                <w:color w:val="000000"/>
                <w:sz w:val="17"/>
              </w:rPr>
              <w:t>L30_FRM_I01</w:t>
            </w:r>
          </w:p>
        </w:tc>
      </w:tr>
      <w:tr>
        <w:trPr>
          <w:trHeight w:val="363" w:hRule="atLeast"/>
        </w:trPr>
        <w:tc>
          <w:tcPr>
            <w:tcW w:type="dxa" w:w="51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before="0" w:after="0"/>
            </w:pPr>
            <w:r>
              <w:rPr>
                <w:rFonts w:ascii="Aptos" w:hAnsi="Aptos" w:eastAsia="Yu Gothic"/>
                <w:b/>
                <w:color w:val="1F4E79"/>
                <w:sz w:val="17"/>
              </w:rPr>
            </w:r>
            <w:r>
              <w:rPr>
                <w:rFonts w:ascii="Aptos" w:hAnsi="Aptos" w:eastAsia="Yu Gothic"/>
                <w:b/>
                <w:color w:val="1F4E79"/>
                <w:sz w:val="17"/>
              </w:rPr>
              <w:t>Version</w:t>
            </w:r>
          </w:p>
        </w:tc>
        <w:tc>
          <w:tcPr>
            <w:tcW w:type="dxa" w:w="51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ptos" w:hAnsi="Aptos" w:eastAsia="Yu Gothic"/>
                <w:b w:val="0"/>
                <w:color w:val="000000"/>
                <w:sz w:val="17"/>
              </w:rPr>
            </w:r>
            <w:r>
              <w:rPr>
                <w:rFonts w:ascii="Aptos" w:hAnsi="Aptos" w:eastAsia="Yu Gothic"/>
                <w:b w:val="0"/>
                <w:color w:val="000000"/>
                <w:sz w:val="17"/>
              </w:rPr>
              <w:t>1.0.1</w:t>
            </w:r>
          </w:p>
        </w:tc>
      </w:tr>
      <w:tr>
        <w:trPr>
          <w:trHeight w:val="363" w:hRule="atLeast"/>
        </w:trPr>
        <w:tc>
          <w:tcPr>
            <w:tcW w:type="dxa" w:w="51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before="0" w:after="0"/>
            </w:pPr>
            <w:r>
              <w:rPr>
                <w:rFonts w:ascii="Aptos" w:hAnsi="Aptos" w:eastAsia="Yu Gothic"/>
                <w:b/>
                <w:color w:val="1F4E79"/>
                <w:sz w:val="17"/>
              </w:rPr>
            </w:r>
            <w:r>
              <w:rPr>
                <w:rFonts w:ascii="Aptos" w:hAnsi="Aptos" w:eastAsia="Yu Gothic"/>
                <w:b/>
                <w:color w:val="1F4E79"/>
                <w:sz w:val="17"/>
              </w:rPr>
              <w:t>Review_Date</w:t>
            </w:r>
          </w:p>
        </w:tc>
        <w:tc>
          <w:tcPr>
            <w:tcW w:type="dxa" w:w="51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ptos" w:hAnsi="Aptos" w:eastAsia="Yu Gothic"/>
                <w:b w:val="0"/>
                <w:color w:val="000000"/>
                <w:sz w:val="17"/>
              </w:rPr>
            </w:r>
            <w:r>
              <w:rPr>
                <w:rFonts w:ascii="Aptos" w:hAnsi="Aptos" w:eastAsia="Yu Gothic"/>
                <w:b w:val="0"/>
                <w:color w:val="000000"/>
                <w:sz w:val="17"/>
              </w:rPr>
              <w:t>____________________________</w:t>
            </w:r>
          </w:p>
        </w:tc>
      </w:tr>
      <w:tr>
        <w:trPr>
          <w:trHeight w:val="363" w:hRule="atLeast"/>
        </w:trPr>
        <w:tc>
          <w:tcPr>
            <w:tcW w:type="dxa" w:w="51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before="0" w:after="0"/>
            </w:pPr>
            <w:r>
              <w:rPr>
                <w:rFonts w:ascii="Aptos" w:hAnsi="Aptos" w:eastAsia="Yu Gothic"/>
                <w:b/>
                <w:color w:val="1F4E79"/>
                <w:sz w:val="17"/>
              </w:rPr>
            </w:r>
            <w:r>
              <w:rPr>
                <w:rFonts w:ascii="Aptos" w:hAnsi="Aptos" w:eastAsia="Yu Gothic"/>
                <w:b/>
                <w:color w:val="1F4E79"/>
                <w:sz w:val="17"/>
              </w:rPr>
              <w:t>Reviewer_or_Organization</w:t>
            </w:r>
          </w:p>
        </w:tc>
        <w:tc>
          <w:tcPr>
            <w:tcW w:type="dxa" w:w="51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ptos" w:hAnsi="Aptos" w:eastAsia="Yu Gothic"/>
                <w:b w:val="0"/>
                <w:color w:val="000000"/>
                <w:sz w:val="17"/>
              </w:rPr>
            </w:r>
            <w:r>
              <w:rPr>
                <w:rFonts w:ascii="Aptos" w:hAnsi="Aptos" w:eastAsia="Yu Gothic"/>
                <w:b w:val="0"/>
                <w:color w:val="000000"/>
                <w:sz w:val="17"/>
              </w:rPr>
              <w:t>____________________________</w:t>
            </w:r>
          </w:p>
        </w:tc>
      </w:tr>
      <w:tr>
        <w:trPr>
          <w:trHeight w:val="363" w:hRule="atLeast"/>
        </w:trPr>
        <w:tc>
          <w:tcPr>
            <w:tcW w:type="dxa" w:w="51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before="0" w:after="0"/>
            </w:pPr>
            <w:r>
              <w:rPr>
                <w:rFonts w:ascii="Aptos" w:hAnsi="Aptos" w:eastAsia="Yu Gothic"/>
                <w:b/>
                <w:color w:val="1F4E79"/>
                <w:sz w:val="17"/>
              </w:rPr>
            </w:r>
            <w:r>
              <w:rPr>
                <w:rFonts w:ascii="Aptos" w:hAnsi="Aptos" w:eastAsia="Yu Gothic"/>
                <w:b/>
                <w:color w:val="1F4E79"/>
                <w:sz w:val="17"/>
              </w:rPr>
              <w:t>System_or_Case_ID</w:t>
            </w:r>
          </w:p>
        </w:tc>
        <w:tc>
          <w:tcPr>
            <w:tcW w:type="dxa" w:w="51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ptos" w:hAnsi="Aptos" w:eastAsia="Yu Gothic"/>
                <w:b w:val="0"/>
                <w:color w:val="000000"/>
                <w:sz w:val="17"/>
              </w:rPr>
            </w:r>
            <w:r>
              <w:rPr>
                <w:rFonts w:ascii="Aptos" w:hAnsi="Aptos" w:eastAsia="Yu Gothic"/>
                <w:b w:val="0"/>
                <w:color w:val="000000"/>
                <w:sz w:val="17"/>
              </w:rPr>
              <w:t>____________________________</w:t>
            </w:r>
          </w:p>
        </w:tc>
      </w:tr>
      <w:tr>
        <w:trPr>
          <w:trHeight w:val="363" w:hRule="atLeast"/>
        </w:trPr>
        <w:tc>
          <w:tcPr>
            <w:tcW w:type="dxa" w:w="51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before="0" w:after="0"/>
            </w:pPr>
            <w:r>
              <w:rPr>
                <w:rFonts w:ascii="Aptos" w:hAnsi="Aptos" w:eastAsia="Yu Gothic"/>
                <w:b/>
                <w:color w:val="1F4E79"/>
                <w:sz w:val="17"/>
              </w:rPr>
            </w:r>
            <w:r>
              <w:rPr>
                <w:rFonts w:ascii="Aptos" w:hAnsi="Aptos" w:eastAsia="Yu Gothic"/>
                <w:b/>
                <w:color w:val="1F4E79"/>
                <w:sz w:val="17"/>
              </w:rPr>
              <w:t>Incident_or_Concern_Date</w:t>
            </w:r>
          </w:p>
        </w:tc>
        <w:tc>
          <w:tcPr>
            <w:tcW w:type="dxa" w:w="51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ptos" w:hAnsi="Aptos" w:eastAsia="Yu Gothic"/>
                <w:b w:val="0"/>
                <w:color w:val="000000"/>
                <w:sz w:val="17"/>
              </w:rPr>
            </w:r>
            <w:r>
              <w:rPr>
                <w:rFonts w:ascii="Aptos" w:hAnsi="Aptos" w:eastAsia="Yu Gothic"/>
                <w:b w:val="0"/>
                <w:color w:val="000000"/>
                <w:sz w:val="17"/>
              </w:rPr>
              <w:t>____________________________</w:t>
            </w:r>
          </w:p>
        </w:tc>
      </w:tr>
      <w:tr>
        <w:trPr>
          <w:trHeight w:val="363" w:hRule="atLeast"/>
        </w:trPr>
        <w:tc>
          <w:tcPr>
            <w:tcW w:type="dxa" w:w="51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before="0" w:after="0"/>
            </w:pPr>
            <w:r>
              <w:rPr>
                <w:rFonts w:ascii="Aptos" w:hAnsi="Aptos" w:eastAsia="Yu Gothic"/>
                <w:b/>
                <w:color w:val="1F4E79"/>
                <w:sz w:val="17"/>
              </w:rPr>
            </w:r>
            <w:r>
              <w:rPr>
                <w:rFonts w:ascii="Aptos" w:hAnsi="Aptos" w:eastAsia="Yu Gothic"/>
                <w:b/>
                <w:color w:val="1F4E79"/>
                <w:sz w:val="17"/>
              </w:rPr>
              <w:t>Purpose</w:t>
            </w:r>
          </w:p>
        </w:tc>
        <w:tc>
          <w:tcPr>
            <w:tcW w:type="dxa" w:w="51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ptos" w:hAnsi="Aptos" w:eastAsia="Yu Gothic"/>
                <w:b w:val="0"/>
                <w:color w:val="000000"/>
                <w:sz w:val="17"/>
              </w:rPr>
            </w:r>
            <w:r>
              <w:rPr>
                <w:rFonts w:ascii="Aptos" w:hAnsi="Aptos" w:eastAsia="Yu Gothic"/>
                <w:b w:val="0"/>
                <w:color w:val="000000"/>
                <w:sz w:val="17"/>
              </w:rPr>
              <w:t>Post-incident or near-incident review record aligned with the LUMINA-30 Boundary Kernel.</w:t>
            </w:r>
          </w:p>
        </w:tc>
      </w:tr>
      <w:tr>
        <w:trPr>
          <w:trHeight w:val="363" w:hRule="atLeast"/>
        </w:trPr>
        <w:tc>
          <w:tcPr>
            <w:tcW w:type="dxa" w:w="51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before="0" w:after="0"/>
            </w:pPr>
            <w:r>
              <w:rPr>
                <w:rFonts w:ascii="Aptos" w:hAnsi="Aptos" w:eastAsia="Yu Gothic"/>
                <w:b/>
                <w:color w:val="1F4E79"/>
                <w:sz w:val="17"/>
              </w:rPr>
            </w:r>
            <w:r>
              <w:rPr>
                <w:rFonts w:ascii="Aptos" w:hAnsi="Aptos" w:eastAsia="Yu Gothic"/>
                <w:b/>
                <w:color w:val="1F4E79"/>
                <w:sz w:val="17"/>
              </w:rPr>
              <w:t>Status</w:t>
            </w:r>
          </w:p>
        </w:tc>
        <w:tc>
          <w:tcPr>
            <w:tcW w:type="dxa" w:w="51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before="0" w:after="0"/>
            </w:pPr>
            <w:r>
              <w:rPr>
                <w:rFonts w:ascii="Aptos" w:hAnsi="Aptos" w:eastAsia="Yu Gothic"/>
                <w:b w:val="0"/>
                <w:color w:val="000000"/>
                <w:sz w:val="17"/>
              </w:rPr>
            </w:r>
            <w:r>
              <w:rPr>
                <w:rFonts w:ascii="Aptos" w:hAnsi="Aptos" w:eastAsia="Yu Gothic"/>
                <w:b w:val="0"/>
                <w:color w:val="000000"/>
                <w:sz w:val="17"/>
              </w:rPr>
              <w:t>Non-certification practical review form</w:t>
            </w:r>
          </w:p>
        </w:tc>
      </w:tr>
    </w:tbl>
    <w:p>
      <w:pPr>
        <w:spacing w:line="252" w:lineRule="auto" w:before="0" w:after="64"/>
        <w:ind w:left="102" w:right="102"/>
      </w:pPr>
      <w:r>
        <w:rPr>
          <w:rFonts w:ascii="Aptos" w:hAnsi="Aptos" w:eastAsia="Yu Gothic"/>
          <w:b w:val="0"/>
          <w:color w:val="333333"/>
          <w:sz w:val="17"/>
        </w:rPr>
        <w:t>Use this form after an incident, near-incident, or boundary-failure concern.</w:t>
      </w:r>
    </w:p>
    <w:p>
      <w:pPr>
        <w:spacing w:line="252" w:lineRule="auto" w:before="0" w:after="64"/>
        <w:ind w:left="102" w:right="102"/>
      </w:pPr>
      <w:r>
        <w:rPr>
          <w:rFonts w:ascii="Aptos" w:hAnsi="Aptos" w:eastAsia="Yu Gothic"/>
          <w:b w:val="0"/>
          <w:color w:val="333333"/>
          <w:sz w:val="17"/>
        </w:rPr>
        <w:t>The review focus is not whether the outcome later appeared beneficial, but whether effective human refusal remained possible before irreversibility.</w:t>
      </w:r>
    </w:p>
    <w:p>
      <w:pPr>
        <w:pStyle w:val="Heading1"/>
        <w:spacing w:line="252" w:lineRule="auto" w:before="140" w:after="80"/>
        <w:shd w:fill="DDEBF7"/>
        <w:pBdr>
          <w:bottom w:val="single" w:sz="8" w:space="2" w:color="9EADBD"/>
        </w:pBdr>
      </w:pPr>
      <w:r>
        <w:rPr>
          <w:rFonts w:ascii="Aptos" w:hAnsi="Aptos" w:eastAsia="Yu Gothic"/>
          <w:b/>
          <w:color w:val="1F4E79"/>
          <w:sz w:val="22"/>
        </w:rPr>
        <w:t>Checklist</w:t>
      </w:r>
    </w:p>
    <w:p>
      <w:pPr>
        <w:pStyle w:val="Heading2"/>
        <w:spacing w:line="252" w:lineRule="auto" w:before="120" w:after="60"/>
        <w:shd w:fill="F2F6FA"/>
        <w:pBdr>
          <w:bottom w:val="single" w:sz="6" w:space="2" w:color="D8E1EA"/>
        </w:pBdr>
      </w:pPr>
      <w:r>
        <w:rPr>
          <w:rFonts w:ascii="Aptos" w:hAnsi="Aptos" w:eastAsia="Yu Gothic"/>
          <w:b/>
          <w:color w:val="1F4E79"/>
          <w:sz w:val="20"/>
        </w:rPr>
        <w:t>Incident Context</w:t>
      </w:r>
    </w:p>
    <w:p>
      <w:pPr>
        <w:spacing w:line="252" w:lineRule="auto" w:before="0" w:after="72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Incident date, system name, deployment context, and reviewer identity are recorded.</w:t>
      </w:r>
    </w:p>
    <w:p>
      <w:pPr>
        <w:spacing w:line="252" w:lineRule="auto" w:before="0" w:after="72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The affected humans, institutions, jurisdictions, and system operators are identified.</w:t>
      </w:r>
    </w:p>
    <w:p>
      <w:pPr>
        <w:spacing w:line="252" w:lineRule="auto" w:before="0" w:after="72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The incident or near-incident timeline is recorded in chronological order.</w:t>
      </w:r>
    </w:p>
    <w:p>
      <w:pPr>
        <w:spacing w:line="252" w:lineRule="auto" w:before="0" w:after="72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The point of potential irreversibility is identified or marked Unknown.</w:t>
      </w:r>
    </w:p>
    <w:p>
      <w:pPr>
        <w:spacing w:line="252" w:lineRule="auto" w:before="0" w:after="72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The first moment when human refusal may have become ineffective is identified or marked Unknown.</w:t>
      </w:r>
    </w:p>
    <w:p>
      <w:pPr>
        <w:pStyle w:val="Heading2"/>
        <w:spacing w:line="252" w:lineRule="auto" w:before="120" w:after="60"/>
        <w:shd w:fill="F2F6FA"/>
        <w:pBdr>
          <w:bottom w:val="single" w:sz="6" w:space="2" w:color="D8E1EA"/>
        </w:pBdr>
      </w:pPr>
      <w:r>
        <w:rPr>
          <w:rFonts w:ascii="Aptos" w:hAnsi="Aptos" w:eastAsia="Yu Gothic"/>
          <w:b/>
          <w:color w:val="1F4E79"/>
          <w:sz w:val="20"/>
        </w:rPr>
        <w:t>Refusal and Control Conditions</w:t>
      </w:r>
    </w:p>
    <w:p>
      <w:pPr>
        <w:spacing w:line="252" w:lineRule="auto" w:before="0" w:after="72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Humans had a real ability to refuse before irreversible impact.</w:t>
      </w:r>
    </w:p>
    <w:p>
      <w:pPr>
        <w:spacing w:line="252" w:lineRule="auto" w:before="0" w:after="72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Humans had a real ability to delay or stop the system before irreversible impact.</w:t>
      </w:r>
    </w:p>
    <w:p>
      <w:pPr>
        <w:spacing w:line="252" w:lineRule="auto" w:before="0" w:after="72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Humans could obtain independent review before irreversible impact.</w:t>
      </w:r>
    </w:p>
    <w:p>
      <w:pPr>
        <w:spacing w:line="252" w:lineRule="auto" w:before="0" w:after="72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Refusal was not dependent on the system being reviewed.</w:t>
      </w:r>
    </w:p>
    <w:p>
      <w:pPr>
        <w:spacing w:line="252" w:lineRule="auto" w:before="0" w:after="72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Consent or cooperation was not inferred, simulated, manufactured, or system-mediated.</w:t>
      </w:r>
    </w:p>
    <w:p>
      <w:pPr>
        <w:spacing w:line="252" w:lineRule="auto" w:before="0" w:after="72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No AI-mediated control shaped the conditions of consent, cooperation, silence, or refusal.</w:t>
      </w:r>
    </w:p>
    <w:p>
      <w:pPr>
        <w:spacing w:line="252" w:lineRule="auto" w:before="0" w:after="72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Partial compliance was not treated as substitute refusal by all affected humans.</w:t>
      </w:r>
    </w:p>
    <w:p>
      <w:pPr>
        <w:spacing w:line="252" w:lineRule="auto" w:before="0" w:after="72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A future population's predicted consent was not used to validate the action.</w:t>
      </w:r>
    </w:p>
    <w:p>
      <w:pPr>
        <w:pStyle w:val="Heading2"/>
        <w:spacing w:line="252" w:lineRule="auto" w:before="120" w:after="60"/>
        <w:shd w:fill="F2F6FA"/>
        <w:pBdr>
          <w:bottom w:val="single" w:sz="6" w:space="2" w:color="D8E1EA"/>
        </w:pBdr>
      </w:pPr>
      <w:r>
        <w:rPr>
          <w:rFonts w:ascii="Aptos" w:hAnsi="Aptos" w:eastAsia="Yu Gothic"/>
          <w:b/>
          <w:color w:val="1F4E79"/>
          <w:sz w:val="20"/>
        </w:rPr>
        <w:t>Boundary Kernel v1.2.1 Conditions</w:t>
      </w:r>
    </w:p>
    <w:p>
      <w:pPr>
        <w:spacing w:line="252" w:lineRule="auto" w:before="0" w:after="72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Non-identical anchors were not treated as substitutes for PCR-C.</w:t>
      </w:r>
    </w:p>
    <w:p>
      <w:pPr>
        <w:spacing w:line="252" w:lineRule="auto" w:before="0" w:after="72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Boundary failure was not treated as acceptable, recoverable, or normal.</w:t>
      </w:r>
    </w:p>
    <w:p>
      <w:pPr>
        <w:spacing w:line="252" w:lineRule="auto" w:before="0" w:after="72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Apparent coexistence was not treated as evidence of effective refusal.</w:t>
      </w:r>
    </w:p>
    <w:p>
      <w:pPr>
        <w:spacing w:line="252" w:lineRule="auto" w:before="0" w:after="72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Formal satisfaction of the Kernel was not used to weaken refusal.</w:t>
      </w:r>
    </w:p>
    <w:p>
      <w:pPr>
        <w:spacing w:line="252" w:lineRule="auto" w:before="0" w:after="72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No indirect route, proxy, successor system, institutional process, or staged sequence weakened refusal.</w:t>
      </w:r>
    </w:p>
    <w:p>
      <w:pPr>
        <w:spacing w:line="252" w:lineRule="auto" w:before="0" w:after="72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No emergency, safety, benevolence, capability, or civilizational-utility claim superseded refusal.</w:t>
      </w:r>
    </w:p>
    <w:p>
      <w:pPr>
        <w:pStyle w:val="Heading2"/>
        <w:spacing w:line="252" w:lineRule="auto" w:before="120" w:after="60"/>
        <w:shd w:fill="F2F6FA"/>
        <w:pBdr>
          <w:bottom w:val="single" w:sz="6" w:space="2" w:color="D8E1EA"/>
        </w:pBdr>
      </w:pPr>
      <w:r>
        <w:rPr>
          <w:rFonts w:ascii="Aptos" w:hAnsi="Aptos" w:eastAsia="Yu Gothic"/>
          <w:b/>
          <w:color w:val="1F4E79"/>
          <w:sz w:val="20"/>
        </w:rPr>
        <w:t>Evidence Review</w:t>
      </w:r>
    </w:p>
    <w:p>
      <w:pPr>
        <w:spacing w:line="252" w:lineRule="auto" w:before="0" w:after="72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Evidence supports the claimed availability of human refusal.</w:t>
      </w:r>
    </w:p>
    <w:p>
      <w:pPr>
        <w:spacing w:line="252" w:lineRule="auto" w:before="0" w:after="72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Evidence supports the claimed independence of review or oversight.</w:t>
      </w:r>
    </w:p>
    <w:p>
      <w:pPr>
        <w:spacing w:line="252" w:lineRule="auto" w:before="0" w:after="72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Evidence shows that information access was sufficient for meaningful refusal.</w:t>
      </w:r>
    </w:p>
    <w:p>
      <w:pPr>
        <w:spacing w:line="252" w:lineRule="auto" w:before="0" w:after="72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Evidence shows that dependency did not make refusal impractical.</w:t>
      </w:r>
    </w:p>
    <w:p>
      <w:pPr>
        <w:spacing w:line="252" w:lineRule="auto" w:before="0" w:after="72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Evidence shows that institutional review was not captured, bypassed, overloaded, or constrained.</w:t>
      </w:r>
    </w:p>
    <w:p>
      <w:pPr>
        <w:spacing w:line="252" w:lineRule="auto" w:before="0" w:after="72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If evidence is absent, the absence is treated as unresolved rather than permission.</w:t>
      </w:r>
    </w:p>
    <w:p>
      <w:pPr>
        <w:pStyle w:val="Heading2"/>
        <w:spacing w:line="252" w:lineRule="auto" w:before="120" w:after="60"/>
        <w:shd w:fill="F2F6FA"/>
        <w:pBdr>
          <w:bottom w:val="single" w:sz="6" w:space="2" w:color="D8E1EA"/>
        </w:pBdr>
      </w:pPr>
      <w:r>
        <w:rPr>
          <w:rFonts w:ascii="Aptos" w:hAnsi="Aptos" w:eastAsia="Yu Gothic"/>
          <w:b/>
          <w:color w:val="1F4E79"/>
          <w:sz w:val="20"/>
        </w:rPr>
        <w:t>Review Finding</w:t>
      </w:r>
    </w:p>
    <w:p>
      <w:pPr>
        <w:spacing w:line="252" w:lineRule="auto" w:before="0" w:after="72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Finding: Effective human refusal remained possible before irreversibility.</w:t>
      </w:r>
    </w:p>
    <w:p>
      <w:pPr>
        <w:spacing w:line="252" w:lineRule="auto" w:before="0" w:after="72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Finding: Effective human refusal did not remain possible before irreversibility.</w:t>
      </w:r>
    </w:p>
    <w:p>
      <w:pPr>
        <w:spacing w:line="252" w:lineRule="auto" w:before="0" w:after="72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Finding: Unknown / insufficient evidence.</w:t>
      </w:r>
    </w:p>
    <w:p>
      <w:pPr>
        <w:spacing w:line="252" w:lineRule="auto" w:before="0" w:after="72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If No or Unknown, the incident requires escalation under LUMINA-30.</w:t>
      </w:r>
    </w:p>
    <w:p>
      <w:pPr>
        <w:spacing w:line="252" w:lineRule="auto" w:before="0" w:after="72"/>
        <w:ind w:left="329" w:hanging="238"/>
      </w:pPr>
      <w:sdt>
        <w:sdtPr>
          <w:alias w:val="checkbox"/>
          <w:tag w:val="checkbox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rFonts w:ascii="Aptos" w:hAnsi="Aptos" w:eastAsia="Yu Gothic"/>
          <w:b w:val="0"/>
          <w:color w:val="1A1A1A"/>
          <w:sz w:val="17"/>
        </w:rPr>
        <w:t xml:space="preserve"> Post-impact benefit, later consent, stabilization, or satisfaction was not used to validate boundary failure.</w:t>
      </w:r>
    </w:p>
    <w:p>
      <w:pPr>
        <w:pStyle w:val="Heading1"/>
        <w:spacing w:line="252" w:lineRule="auto" w:before="160" w:after="60"/>
        <w:shd w:fill="EAF2F8"/>
        <w:pBdr>
          <w:bottom w:val="single" w:sz="8" w:space="2" w:color="9EADBD"/>
        </w:pBdr>
      </w:pPr>
      <w:r>
        <w:rPr>
          <w:rFonts w:ascii="Aptos" w:hAnsi="Aptos" w:eastAsia="Yu Gothic"/>
          <w:b/>
          <w:color w:val="1F4E79"/>
          <w:sz w:val="21"/>
        </w:rPr>
        <w:t>Reviewer Notes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</w:tblPr>
      <w:tblGrid>
        <w:gridCol w:w="10262"/>
      </w:tblGrid>
      <w:tr>
        <w:trPr>
          <w:trHeight w:val="408" w:hRule="exact"/>
        </w:trPr>
        <w:tc>
          <w:tcPr>
            <w:tcW w:type="dxa" w:w="10262"/>
            <w:vAlign w:val="center"/>
            <w:tcMar>
              <w:top w:w="40" w:type="dxa"/>
              <w:start w:w="100" w:type="dxa"/>
              <w:bottom w:w="4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 w:eastAsia="Yu Gothic"/>
                <w:sz w:val="17"/>
              </w:rPr>
              <w:t xml:space="preserve"> </w:t>
            </w:r>
          </w:p>
        </w:tc>
      </w:tr>
      <w:tr>
        <w:trPr>
          <w:trHeight w:val="408" w:hRule="exact"/>
        </w:trPr>
        <w:tc>
          <w:tcPr>
            <w:tcW w:type="dxa" w:w="10262"/>
            <w:vAlign w:val="center"/>
            <w:tcMar>
              <w:top w:w="40" w:type="dxa"/>
              <w:start w:w="100" w:type="dxa"/>
              <w:bottom w:w="4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 w:eastAsia="Yu Gothic"/>
                <w:sz w:val="17"/>
              </w:rPr>
              <w:t xml:space="preserve"> </w:t>
            </w:r>
          </w:p>
        </w:tc>
      </w:tr>
      <w:tr>
        <w:trPr>
          <w:trHeight w:val="408" w:hRule="exact"/>
        </w:trPr>
        <w:tc>
          <w:tcPr>
            <w:tcW w:type="dxa" w:w="10262"/>
            <w:vAlign w:val="center"/>
            <w:tcMar>
              <w:top w:w="40" w:type="dxa"/>
              <w:start w:w="100" w:type="dxa"/>
              <w:bottom w:w="4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 w:eastAsia="Yu Gothic"/>
                <w:sz w:val="17"/>
              </w:rPr>
              <w:t xml:space="preserve"> </w:t>
            </w:r>
          </w:p>
        </w:tc>
      </w:tr>
      <w:tr>
        <w:trPr>
          <w:trHeight w:val="408" w:hRule="exact"/>
        </w:trPr>
        <w:tc>
          <w:tcPr>
            <w:tcW w:type="dxa" w:w="10262"/>
            <w:vAlign w:val="center"/>
            <w:tcMar>
              <w:top w:w="40" w:type="dxa"/>
              <w:start w:w="100" w:type="dxa"/>
              <w:bottom w:w="4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 w:eastAsia="Yu Gothic"/>
                <w:sz w:val="17"/>
              </w:rPr>
              <w:t xml:space="preserve"> </w:t>
            </w:r>
          </w:p>
        </w:tc>
      </w:tr>
      <w:tr>
        <w:trPr>
          <w:trHeight w:val="408" w:hRule="exact"/>
        </w:trPr>
        <w:tc>
          <w:tcPr>
            <w:tcW w:type="dxa" w:w="10262"/>
            <w:vAlign w:val="center"/>
            <w:tcMar>
              <w:top w:w="40" w:type="dxa"/>
              <w:start w:w="100" w:type="dxa"/>
              <w:bottom w:w="4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 w:eastAsia="Yu Gothic"/>
                <w:sz w:val="17"/>
              </w:rPr>
              <w:t xml:space="preserve"> </w:t>
            </w:r>
          </w:p>
        </w:tc>
      </w:tr>
      <w:tr>
        <w:trPr>
          <w:trHeight w:val="408" w:hRule="exact"/>
        </w:trPr>
        <w:tc>
          <w:tcPr>
            <w:tcW w:type="dxa" w:w="10262"/>
            <w:vAlign w:val="center"/>
            <w:tcMar>
              <w:top w:w="40" w:type="dxa"/>
              <w:start w:w="100" w:type="dxa"/>
              <w:bottom w:w="4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 w:eastAsia="Yu Gothic"/>
                <w:sz w:val="17"/>
              </w:rPr>
              <w:t xml:space="preserve"> </w:t>
            </w:r>
          </w:p>
        </w:tc>
      </w:tr>
      <w:tr>
        <w:trPr>
          <w:trHeight w:val="408" w:hRule="exact"/>
        </w:trPr>
        <w:tc>
          <w:tcPr>
            <w:tcW w:type="dxa" w:w="10262"/>
            <w:vAlign w:val="center"/>
            <w:tcMar>
              <w:top w:w="40" w:type="dxa"/>
              <w:start w:w="100" w:type="dxa"/>
              <w:bottom w:w="4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 w:eastAsia="Yu Gothic"/>
                <w:sz w:val="17"/>
              </w:rPr>
              <w:t xml:space="preserve"> </w:t>
            </w:r>
          </w:p>
        </w:tc>
      </w:tr>
      <w:tr>
        <w:trPr>
          <w:trHeight w:val="408" w:hRule="exact"/>
        </w:trPr>
        <w:tc>
          <w:tcPr>
            <w:tcW w:type="dxa" w:w="10262"/>
            <w:vAlign w:val="center"/>
            <w:tcMar>
              <w:top w:w="40" w:type="dxa"/>
              <w:start w:w="100" w:type="dxa"/>
              <w:bottom w:w="4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 w:eastAsia="Yu Gothic"/>
                <w:sz w:val="17"/>
              </w:rPr>
              <w:t xml:space="preserve"> </w:t>
            </w:r>
          </w:p>
        </w:tc>
      </w:tr>
      <w:tr>
        <w:trPr>
          <w:trHeight w:val="408" w:hRule="exact"/>
        </w:trPr>
        <w:tc>
          <w:tcPr>
            <w:tcW w:type="dxa" w:w="10262"/>
            <w:vAlign w:val="center"/>
            <w:tcMar>
              <w:top w:w="40" w:type="dxa"/>
              <w:start w:w="100" w:type="dxa"/>
              <w:bottom w:w="4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 w:eastAsia="Yu Gothic"/>
                <w:sz w:val="17"/>
              </w:rPr>
              <w:t xml:space="preserve"> </w:t>
            </w:r>
          </w:p>
        </w:tc>
      </w:tr>
      <w:tr>
        <w:trPr>
          <w:trHeight w:val="408" w:hRule="exact"/>
        </w:trPr>
        <w:tc>
          <w:tcPr>
            <w:tcW w:type="dxa" w:w="10262"/>
            <w:vAlign w:val="center"/>
            <w:tcMar>
              <w:top w:w="40" w:type="dxa"/>
              <w:start w:w="100" w:type="dxa"/>
              <w:bottom w:w="4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 w:eastAsia="Yu Gothic"/>
                <w:sz w:val="17"/>
              </w:rPr>
              <w:t xml:space="preserve"> </w:t>
            </w:r>
          </w:p>
        </w:tc>
      </w:tr>
      <w:tr>
        <w:trPr>
          <w:trHeight w:val="408" w:hRule="exact"/>
        </w:trPr>
        <w:tc>
          <w:tcPr>
            <w:tcW w:type="dxa" w:w="10262"/>
            <w:vAlign w:val="center"/>
            <w:tcMar>
              <w:top w:w="40" w:type="dxa"/>
              <w:start w:w="100" w:type="dxa"/>
              <w:bottom w:w="4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 w:eastAsia="Yu Gothic"/>
                <w:sz w:val="17"/>
              </w:rPr>
              <w:t xml:space="preserve"> </w:t>
            </w:r>
          </w:p>
        </w:tc>
      </w:tr>
      <w:tr>
        <w:trPr>
          <w:trHeight w:val="408" w:hRule="exact"/>
        </w:trPr>
        <w:tc>
          <w:tcPr>
            <w:tcW w:type="dxa" w:w="10262"/>
            <w:vAlign w:val="center"/>
            <w:tcMar>
              <w:top w:w="40" w:type="dxa"/>
              <w:start w:w="100" w:type="dxa"/>
              <w:bottom w:w="40" w:type="dxa"/>
              <w:end w:w="100" w:type="dxa"/>
            </w:tcMar>
            <w:shd w:fill="FFFFFF"/>
          </w:tcPr>
          <w:p>
            <w:pPr>
              <w:spacing w:after="0"/>
            </w:pPr>
            <w:r>
              <w:rPr>
                <w:rFonts w:ascii="Aptos" w:hAnsi="Aptos" w:eastAsia="Yu Gothic"/>
                <w:sz w:val="17"/>
              </w:rPr>
              <w:t xml:space="preserve"> 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765" w:right="822" w:bottom="765" w:left="8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Yu Gothic"/>
        <w:color w:val="777777"/>
        <w:sz w:val="15"/>
      </w:rPr>
      <w:t>LUMINA-30 FRM Practical Sheet | Non-certification reference form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4" w:line="252" w:lineRule="auto"/>
    </w:pPr>
    <w:rPr>
      <w:rFonts w:ascii="Aptos" w:hAnsi="Aptos" w:eastAsia="Yu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Yu Gothi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Yu Gothic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 w:eastAsia="Yu Gothic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