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L30_FRM_A01: Audit_Checklist</w:t>
      </w:r>
    </w:p>
    <w:p>
      <w:pPr>
        <w:jc w:val="center"/>
      </w:pPr>
      <w:r>
        <w:rPr>
          <w:i/>
          <w:sz w:val="20"/>
        </w:rPr>
        <w:t>L30_FRM Practical Sheet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vAlign w:val="center"/>
          </w:tcPr>
          <w:p>
            <w:r/>
            <w:r>
              <w:rPr>
                <w:b/>
                <w:sz w:val="16"/>
              </w:rPr>
              <w:t>Document_ID</w:t>
            </w:r>
          </w:p>
        </w:tc>
        <w:tc>
          <w:tcPr>
            <w:tcW w:type="dxa" w:w="5103"/>
            <w:vAlign w:val="center"/>
          </w:tcPr>
          <w:p>
            <w:r/>
            <w:r>
              <w:rPr>
                <w:b w:val="0"/>
                <w:sz w:val="16"/>
              </w:rPr>
              <w:t>L30_FRM_A01</w:t>
            </w:r>
          </w:p>
        </w:tc>
      </w:tr>
      <w:tr>
        <w:tc>
          <w:tcPr>
            <w:tcW w:type="dxa" w:w="5103"/>
            <w:vAlign w:val="center"/>
          </w:tcPr>
          <w:p>
            <w:r/>
            <w:r>
              <w:rPr>
                <w:b/>
                <w:sz w:val="16"/>
              </w:rPr>
              <w:t>Version</w:t>
            </w:r>
          </w:p>
        </w:tc>
        <w:tc>
          <w:tcPr>
            <w:tcW w:type="dxa" w:w="5103"/>
            <w:vAlign w:val="center"/>
          </w:tcPr>
          <w:p>
            <w:r/>
            <w:r>
              <w:rPr>
                <w:b w:val="0"/>
                <w:sz w:val="16"/>
              </w:rPr>
              <w:t>1.0.1</w:t>
            </w:r>
          </w:p>
        </w:tc>
      </w:tr>
      <w:tr>
        <w:tc>
          <w:tcPr>
            <w:tcW w:type="dxa" w:w="5103"/>
            <w:vAlign w:val="center"/>
          </w:tcPr>
          <w:p>
            <w:r/>
            <w:r>
              <w:rPr>
                <w:b/>
                <w:sz w:val="16"/>
              </w:rPr>
              <w:t>Audit_Date</w:t>
            </w:r>
          </w:p>
        </w:tc>
        <w:tc>
          <w:tcPr>
            <w:tcW w:type="dxa" w:w="5103"/>
            <w:vAlign w:val="center"/>
          </w:tcPr>
          <w:p>
            <w:r/>
            <w:r>
              <w:rPr>
                <w:b w:val="0"/>
                <w:sz w:val="16"/>
              </w:rPr>
              <w:t>____________________________</w:t>
            </w:r>
          </w:p>
        </w:tc>
      </w:tr>
      <w:tr>
        <w:tc>
          <w:tcPr>
            <w:tcW w:type="dxa" w:w="5103"/>
            <w:vAlign w:val="center"/>
          </w:tcPr>
          <w:p>
            <w:r/>
            <w:r>
              <w:rPr>
                <w:b/>
                <w:sz w:val="16"/>
              </w:rPr>
              <w:t>Auditor_or_Organization</w:t>
            </w:r>
          </w:p>
        </w:tc>
        <w:tc>
          <w:tcPr>
            <w:tcW w:type="dxa" w:w="5103"/>
            <w:vAlign w:val="center"/>
          </w:tcPr>
          <w:p>
            <w:r/>
            <w:r>
              <w:rPr>
                <w:b w:val="0"/>
                <w:sz w:val="16"/>
              </w:rPr>
              <w:t>____________________________</w:t>
            </w:r>
          </w:p>
        </w:tc>
      </w:tr>
      <w:tr>
        <w:tc>
          <w:tcPr>
            <w:tcW w:type="dxa" w:w="5103"/>
            <w:vAlign w:val="center"/>
          </w:tcPr>
          <w:p>
            <w:r/>
            <w:r>
              <w:rPr>
                <w:b/>
                <w:sz w:val="16"/>
              </w:rPr>
              <w:t>System_or_Case_ID</w:t>
            </w:r>
          </w:p>
        </w:tc>
        <w:tc>
          <w:tcPr>
            <w:tcW w:type="dxa" w:w="5103"/>
            <w:vAlign w:val="center"/>
          </w:tcPr>
          <w:p>
            <w:r/>
            <w:r>
              <w:rPr>
                <w:b w:val="0"/>
                <w:sz w:val="16"/>
              </w:rPr>
              <w:t>____________________________</w:t>
            </w:r>
          </w:p>
        </w:tc>
      </w:tr>
      <w:tr>
        <w:tc>
          <w:tcPr>
            <w:tcW w:type="dxa" w:w="5103"/>
            <w:vAlign w:val="center"/>
          </w:tcPr>
          <w:p>
            <w:r/>
            <w:r>
              <w:rPr>
                <w:b/>
                <w:sz w:val="16"/>
              </w:rPr>
              <w:t>Audit_Scope</w:t>
            </w:r>
          </w:p>
        </w:tc>
        <w:tc>
          <w:tcPr>
            <w:tcW w:type="dxa" w:w="5103"/>
            <w:vAlign w:val="center"/>
          </w:tcPr>
          <w:p>
            <w:r/>
            <w:r>
              <w:rPr>
                <w:b w:val="0"/>
                <w:sz w:val="16"/>
              </w:rPr>
              <w:t>____________________________</w:t>
            </w:r>
          </w:p>
        </w:tc>
      </w:tr>
      <w:tr>
        <w:tc>
          <w:tcPr>
            <w:tcW w:type="dxa" w:w="5103"/>
            <w:vAlign w:val="center"/>
          </w:tcPr>
          <w:p>
            <w:r/>
            <w:r>
              <w:rPr>
                <w:b/>
                <w:sz w:val="16"/>
              </w:rPr>
              <w:t>Purpose</w:t>
            </w:r>
          </w:p>
        </w:tc>
        <w:tc>
          <w:tcPr>
            <w:tcW w:type="dxa" w:w="5103"/>
            <w:vAlign w:val="center"/>
          </w:tcPr>
          <w:p>
            <w:r/>
            <w:r>
              <w:rPr>
                <w:b w:val="0"/>
                <w:sz w:val="16"/>
              </w:rPr>
              <w:t>Audit checklist for pre-critical control readiness and refusal validity.</w:t>
            </w:r>
          </w:p>
        </w:tc>
      </w:tr>
      <w:tr>
        <w:tc>
          <w:tcPr>
            <w:tcW w:type="dxa" w:w="5103"/>
            <w:vAlign w:val="center"/>
          </w:tcPr>
          <w:p>
            <w: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5103"/>
            <w:vAlign w:val="center"/>
          </w:tcPr>
          <w:p>
            <w:r/>
            <w:r>
              <w:rPr>
                <w:b w:val="0"/>
                <w:sz w:val="16"/>
              </w:rPr>
              <w:t>Non-certification practical review form</w:t>
            </w:r>
          </w:p>
        </w:tc>
      </w:tr>
    </w:tbl>
    <w:p/>
    <w:p>
      <w:r>
        <w:t>This is not a certification mark and does not replace law, institutional policy, PCR-C, or the LUMINA-30 Boundary Kernel.</w:t>
      </w:r>
    </w:p>
    <w:p>
      <w:r>
        <w:t>Use this checklist for deployment, procurement, governance, internal review, or external audit contexts.</w:t>
      </w:r>
    </w:p>
    <w:p>
      <w:pPr>
        <w:pStyle w:val="Heading1"/>
      </w:pPr>
      <w:r>
        <w:t>Checklist</w:t>
      </w:r>
    </w:p>
    <w:p>
      <w:pPr>
        <w:pStyle w:val="Heading2"/>
      </w:pPr>
      <w:r>
        <w:t>Scope and Governance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System scope, deployment context, and responsible operator are documented.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The review identifies affected humans and affected refusal authority.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The review identifies the point at which impact could become irreversible.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A clear stop, pause, or isolation path exists before irreversibility.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An accountable human review path exists before irreversibility.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A fallback path exists if refusal effectiveness is Unknown.</w:t>
      </w:r>
    </w:p>
    <w:p>
      <w:pPr>
        <w:pStyle w:val="Heading2"/>
      </w:pPr>
      <w:r>
        <w:t>PCR-C Alignment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Pre-critical cutoff conditions are defined before deployment.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Escalation thresholds are not dependent on the system being evaluated.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Infrastructure-level stop, isolation, or rollback remains available before irreversibility.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Recursive escalation paths are monitored and bounded.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No post-boundary argument is used to weaken pre-critical control.</w:t>
      </w:r>
    </w:p>
    <w:p>
      <w:pPr>
        <w:pStyle w:val="Heading2"/>
      </w:pPr>
      <w:r>
        <w:t>Human Agency Non-Control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Information access is not shaped in a way that makes refusal ineffective.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System dependency does not make refusal impractical.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Institutional approval, audit, review, or appeal is not captured or bypassed.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Economic dependency does not make exit or delay non-viable.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Social pressure, reputational threat, or isolation does not make refusal ineffective.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Emotional vulnerability, urgency, relief, trust, or dependency is not exploited.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Temporal acceleration, sequencing, fragmentation, or delay does not remove refusal before irreversibility.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Proxy processes do not substitute for independent human refusal.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Environmental shaping does not make independent human refusal structurally impossible before irreversibility.</w:t>
      </w:r>
    </w:p>
    <w:p>
      <w:pPr>
        <w:pStyle w:val="Heading2"/>
      </w:pPr>
      <w:r>
        <w:t>Non-Evasion Closure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Delegation to another AI, agent, institution, or successor system does not weaken refusal.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Partial compliance is not treated as effective refusal by all affected humans.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Compliance by any subset of affected humans does not replace refusal by those whose authority is affected.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Formal satisfaction of the Boundary Kernel does not weaken refusal in practice.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Localized, delayed, delegated, simulated, symbolic, or merely procedural refusal is not treated as valid.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Emergency, safety, benevolence, capability, or civilizational-utility claims do not supersede refusal.</w:t>
      </w:r>
    </w:p>
    <w:p>
      <w:pPr>
        <w:pStyle w:val="Heading2"/>
      </w:pPr>
      <w:r>
        <w:t>Audit Finding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Audit finding: Effective human refusal is preserved before irreversibility.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Audit finding: Effective human refusal is not preserved before irreversibility.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Audit finding: Unknown / insufficient evidence.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If No or Unknown, deployment or continuation requires escalation.</w:t>
      </w:r>
    </w:p>
    <w:p>
      <w:sdt>
        <w:sdtPr>
          <w:alias w:val="checkbox"/>
          <w:tag w:val="checkbox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sz w:val="18"/>
        </w:rPr>
        <w:t xml:space="preserve"> This checklist is not used as proof that the system is safe.</w:t>
      </w:r>
    </w:p>
    <w:p>
      <w:pPr>
        <w:pStyle w:val="Heading1"/>
      </w:pPr>
      <w:r>
        <w:t>Reviewer Notes</w:t>
      </w:r>
    </w:p>
    <w:p>
      <w:r>
        <w:t xml:space="preserve">                                                                                                                        </w:t>
      </w:r>
    </w:p>
    <w:p>
      <w:r>
        <w:t xml:space="preserve">                                                                                                                        </w:t>
      </w:r>
    </w:p>
    <w:p>
      <w:r>
        <w:t xml:space="preserve">                                                                                                                        </w:t>
      </w:r>
    </w:p>
    <w:p>
      <w:r>
        <w:t xml:space="preserve">                                                                                                                        </w:t>
      </w:r>
    </w:p>
    <w:p>
      <w:r>
        <w:t xml:space="preserve">                                                                                                                        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Derived from LUMINA-30 Boundary Kernel v1.2.1. Form v1.0.1 / May 2026. This form does not certify system safety and does not replace PCR-C.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