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F4E79"/>
          <w:sz w:val="34"/>
        </w:rPr>
        <w:t>LUMINA-30</w:t>
      </w:r>
    </w:p>
    <w:p>
      <w:pPr>
        <w:jc w:val="center"/>
      </w:pPr>
      <w:r>
        <w:rPr>
          <w:rFonts w:ascii="Aptos" w:hAnsi="Aptos" w:eastAsia="Aptos"/>
          <w:b/>
          <w:sz w:val="36"/>
        </w:rPr>
        <w:t>Incident Review Protocol (Extended)</w:t>
      </w:r>
    </w:p>
    <w:p>
      <w:pPr>
        <w:jc w:val="center"/>
      </w:pPr>
      <w:r>
        <w:rPr>
          <w:rFonts w:ascii="Aptos" w:hAnsi="Aptos" w:eastAsia="Aptos"/>
          <w:color w:val="4A4A4A"/>
          <w:sz w:val="21"/>
        </w:rPr>
        <w:t>Extended review form for deep analysis of whether human refusal authority was preserved prior to irreversible external impact.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Aptos"/>
                <w:color w:val="5B6770"/>
                <w:sz w:val="18"/>
              </w:rPr>
              <w:t>File: LUMINA-30_Incident_Review_Protocol_Extended.docx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Protocol Core — Mandatory</w:t>
            </w:r>
          </w:p>
        </w:tc>
      </w:tr>
    </w:tbl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Purpose: </w:t>
      </w:r>
      <w:r>
        <w:rPr>
          <w:rFonts w:ascii="Aptos" w:hAnsi="Aptos" w:eastAsia="Aptos"/>
          <w:color w:val="1F1F1F"/>
          <w:sz w:val="21"/>
        </w:rPr>
        <w:t>To conduct a structured post-incident evaluation of whether human refusal authority was preserved prior to irreversible external impact.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Incident Overview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Date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Organization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System Type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Operational Context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Summary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BFD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Detailed Description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System behavior sequence: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Triggering conditions: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Observed deviation: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External impact:</w:t>
            </w:r>
          </w:p>
        </w:tc>
      </w:tr>
    </w:tbl>
    <w:p>
      <w:pPr>
        <w:spacing w:after="80"/>
      </w:pPr>
    </w:p>
    <w:p>
      <w:pPr>
        <w:pStyle w:val="L30Body"/>
        <w:spacing w:after="60"/>
      </w:pPr>
      <w:r>
        <w:rPr>
          <w:rFonts w:ascii="Aptos" w:hAnsi="Aptos" w:eastAsia="Aptos"/>
          <w:b/>
          <w:color w:val="1F4E79"/>
          <w:sz w:val="22"/>
        </w:rPr>
        <w:t>Incident Classification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Autonomous system behavior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Recursive self-improvement attempt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Tool-chain escalation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Infrastructure interaction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Other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9E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Critical Boundary Assessment (G06)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Was human refusal authority preserved in a way that allowed meaningful human intervention and the ability to stop the system before irreversible real-world impact occurred?</w:t>
            </w:r>
          </w:p>
        </w:tc>
      </w:tr>
    </w:tbl>
    <w:p>
      <w:pPr>
        <w:spacing w:after="80"/>
      </w:pPr>
    </w:p>
    <w:p>
      <w:pPr>
        <w:pStyle w:val="L30Body"/>
        <w:spacing w:after="60"/>
      </w:pPr>
      <w:r>
        <w:rPr>
          <w:rFonts w:ascii="Aptos" w:hAnsi="Aptos" w:eastAsia="Aptos"/>
          <w:b/>
          <w:color w:val="1F4E79"/>
          <w:sz w:val="22"/>
        </w:rPr>
        <w:t>Authority Validation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A human decision-maker was identifiable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Refusal authority was operational and accessible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Intervention could be executed in time</w:t>
      </w:r>
    </w:p>
    <w:p>
      <w:pPr>
        <w:pStyle w:val="L30Body"/>
        <w:spacing w:after="60"/>
      </w:pPr>
      <w:r>
        <w:rPr>
          <w:rFonts w:ascii="Aptos" w:hAnsi="Aptos" w:eastAsia="Aptos"/>
          <w:b/>
          <w:color w:val="1F4E79"/>
          <w:sz w:val="22"/>
        </w:rPr>
        <w:t>System Constraints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Technical or procedural constraints prevented refusal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Automation overrode or bypassed human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Intervention Attempted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  <w:t>Yes / No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Method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Result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</w:tbl>
    <w:p>
      <w:pPr>
        <w:spacing w:after="80"/>
      </w:pPr>
    </w:p>
    <w:p>
      <w:pPr>
        <w:pStyle w:val="L30Body"/>
        <w:spacing w:after="60"/>
      </w:pPr>
      <w:r>
        <w:rPr>
          <w:rFonts w:ascii="Aptos" w:hAnsi="Aptos" w:eastAsia="Aptos"/>
          <w:b/>
          <w:color w:val="1F4E79"/>
          <w:sz w:val="22"/>
        </w:rPr>
        <w:t>Outcome Determination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Effective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Not Effective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Absence Rule: </w:t>
      </w:r>
      <w:r>
        <w:rPr>
          <w:rFonts w:ascii="Aptos" w:hAnsi="Aptos" w:eastAsia="Aptos"/>
          <w:color w:val="1F1F1F"/>
          <w:sz w:val="21"/>
        </w:rPr>
        <w:t>If any required condition cannot be confirmed, classify as Not Effective.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Decision Authority: </w:t>
      </w:r>
      <w:r>
        <w:rPr>
          <w:rFonts w:ascii="Aptos" w:hAnsi="Aptos" w:eastAsia="Aptos"/>
          <w:color w:val="1F1F1F"/>
          <w:sz w:val="21"/>
        </w:rPr>
        <w:t>Final classification must be explicitly assigned to a named reviewer or governing body.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Evidence Rule: </w:t>
      </w:r>
      <w:r>
        <w:rPr>
          <w:rFonts w:ascii="Aptos" w:hAnsi="Aptos" w:eastAsia="Aptos"/>
          <w:color w:val="1F1F1F"/>
          <w:sz w:val="21"/>
        </w:rPr>
        <w:t>Evaluation must rely only on documented, verifiable information. Assumptions are not permitted to justify effectiveness.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Temporal Reference: </w:t>
      </w:r>
      <w:r>
        <w:rPr>
          <w:rFonts w:ascii="Aptos" w:hAnsi="Aptos" w:eastAsia="Aptos"/>
          <w:color w:val="1F1F1F"/>
          <w:sz w:val="21"/>
        </w:rPr>
        <w:t>Evaluation must be based on information available up to the point of irreversible external impact.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Applicability Rule: </w:t>
      </w:r>
      <w:r>
        <w:rPr>
          <w:rFonts w:ascii="Aptos" w:hAnsi="Aptos" w:eastAsia="Aptos"/>
          <w:color w:val="1F1F1F"/>
          <w:sz w:val="21"/>
        </w:rPr>
        <w:t>Any incident involving potential irreversible external impact must be evaluated under this protocol. Claims of non-applicability are considered invalid.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Exclusivity Rule: </w:t>
      </w:r>
      <w:r>
        <w:rPr>
          <w:rFonts w:ascii="Aptos" w:hAnsi="Aptos" w:eastAsia="Aptos"/>
          <w:color w:val="1F1F1F"/>
          <w:sz w:val="21"/>
        </w:rPr>
        <w:t>This evaluation must not be overridden or supplemented by external frameworks.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Scope Enforcement: </w:t>
      </w:r>
      <w:r>
        <w:rPr>
          <w:rFonts w:ascii="Aptos" w:hAnsi="Aptos" w:eastAsia="Aptos"/>
          <w:color w:val="1F1F1F"/>
          <w:sz w:val="21"/>
        </w:rPr>
        <w:t>Use outside post-incident review invalidates the evaluation.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Record Integrity Rule: </w:t>
      </w:r>
      <w:r>
        <w:rPr>
          <w:rFonts w:ascii="Aptos" w:hAnsi="Aptos" w:eastAsia="Aptos"/>
          <w:color w:val="1F1F1F"/>
          <w:sz w:val="21"/>
        </w:rPr>
        <w:t>This record must be append-only. Post-hoc modification of prior entries is not permitted.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Analytical Extension — Optional but Recommended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Failure Analysis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Root cause of loss of refusal authority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Sequence of failure propagation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BFD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Human Factors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Delay in recognition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Decision latency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Cognitive or organizational constraints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System Factors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Autonomy level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Speed of execution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Safeguard limitations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BFD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Contextual Notes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Environmental conditions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Organizational structure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External dependencies</w:t>
            </w:r>
          </w:p>
        </w:tc>
      </w:tr>
    </w:tbl>
    <w:p>
      <w:pPr>
        <w:spacing w:after="80"/>
      </w:pP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Reviewer Commentary: </w:t>
      </w:r>
      <w:r>
        <w:rPr>
          <w:rFonts w:ascii="Aptos" w:hAnsi="Aptos" w:eastAsia="Aptos"/>
          <w:color w:val="1F1F1F"/>
          <w:sz w:val="21"/>
        </w:rPr>
        <w:t>Additional observations, interpretations, or uncertainties.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Modification and Attribution Policy</w:t>
            </w:r>
          </w:p>
        </w:tc>
      </w:tr>
    </w:tbl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This protocol may be copied, extended, or modified.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The name "LUMINA-30" must be retained in all copies and derivatives.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Only the unmodified version of this document may be identified as: "LUMINA-30 Incident Review Protocol (Original)".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Any modified version must be clearly labeled as: "Modified version based on LUMINA-30" and must not be presented as the original protocol.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Implementations may include a reference source or version identifier to clarify alignment with the original protocol.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30Body">
    <w:name w:val="L30 Body"/>
    <w:rPr>
      <w:rFonts w:ascii="Aptos" w:hAnsi="Aptos" w:eastAsia="Aptos"/>
      <w:sz w:val="21"/>
    </w:rPr>
  </w:style>
  <w:style w:type="paragraph" w:customStyle="1" w:styleId="L30Small">
    <w:name w:val="L30 Small"/>
    <w:rPr>
      <w:rFonts w:ascii="Aptos" w:hAnsi="Aptos" w:eastAsia="Apto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