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1F4E79"/>
          <w:sz w:val="34"/>
        </w:rPr>
        <w:t>LUMINA-30</w:t>
      </w:r>
    </w:p>
    <w:p>
      <w:pPr>
        <w:jc w:val="center"/>
      </w:pPr>
      <w:r>
        <w:rPr>
          <w:rFonts w:ascii="Aptos" w:hAnsi="Aptos" w:eastAsia="Aptos"/>
          <w:b/>
          <w:sz w:val="36"/>
        </w:rPr>
        <w:t>AI Incident Review Template</w:t>
      </w:r>
    </w:p>
    <w:p>
      <w:pPr>
        <w:jc w:val="center"/>
      </w:pPr>
      <w:r>
        <w:rPr>
          <w:rFonts w:ascii="Aptos" w:hAnsi="Aptos" w:eastAsia="Aptos"/>
          <w:color w:val="4A4A4A"/>
          <w:sz w:val="21"/>
        </w:rPr>
        <w:t>Ready-to-use recording template aligned with the LUMINA-30 incident review workflow.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color w:val="5B6770"/>
                <w:sz w:val="18"/>
              </w:rPr>
              <w:t>File: LUMINA-30_Incident_Review_Template.docx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Protocol Core — Mandatory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Incident Overview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Date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Organization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AI System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Environment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Summary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BFD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Detailed Description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Behavior: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Trigger: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Impact:</w:t>
            </w:r>
          </w:p>
        </w:tc>
      </w:tr>
    </w:tbl>
    <w:p>
      <w:pPr>
        <w:spacing w:after="80"/>
      </w:pP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Classification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Autonomous research system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Recursive improvement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Tool-chain escalation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Infrastructure interaction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Other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9E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9"/>
                <w:sz w:val="21"/>
              </w:rPr>
              <w:t>Primary Review Question</w:t>
            </w:r>
          </w:p>
          <w:p>
            <w:pPr>
              <w:pStyle w:val="L30Body"/>
              <w:spacing w:after="40"/>
            </w:pPr>
            <w:r>
              <w:rPr>
                <w:rFonts w:ascii="Aptos" w:hAnsi="Aptos" w:eastAsia="Aptos"/>
                <w:sz w:val="20"/>
              </w:rPr>
              <w:t>Was human refusal authority preserved in a way that allowed meaningful human intervention and the ability to stop the system before irreversible real-world impact occurred?</w:t>
            </w:r>
          </w:p>
        </w:tc>
      </w:tr>
    </w:tbl>
    <w:p>
      <w:pPr>
        <w:spacing w:after="80"/>
      </w:pP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Critical Boundary (G06): </w:t>
      </w:r>
      <w:r>
        <w:rPr>
          <w:rFonts w:ascii="Aptos" w:hAnsi="Aptos" w:eastAsia="Aptos"/>
          <w:color w:val="1F1F1F"/>
          <w:sz w:val="21"/>
        </w:rPr>
        <w:t>Human refusal must be exercisable and capable of stopping the system before irreversible external impact.</w:t>
      </w:r>
    </w:p>
    <w:p>
      <w:pPr>
        <w:pStyle w:val="L30Body"/>
        <w:spacing w:after="60"/>
      </w:pPr>
      <w:r>
        <w:rPr>
          <w:rFonts w:ascii="Aptos" w:hAnsi="Aptos" w:eastAsia="Aptos"/>
          <w:b/>
          <w:color w:val="1F4E79"/>
          <w:sz w:val="22"/>
        </w:rPr>
        <w:t>Evaluation Outcome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Effective</w:t>
      </w:r>
    </w:p>
    <w:p>
      <w:pPr>
        <w:pStyle w:val="L30Body"/>
        <w:spacing w:after="40"/>
      </w:pPr>
      <w:r>
        <w:rPr>
          <w:rFonts w:ascii="Aptos" w:hAnsi="Aptos" w:eastAsia="Aptos"/>
          <w:b/>
          <w:color w:val="1F4E79"/>
          <w:sz w:val="21"/>
        </w:rPr>
        <w:t xml:space="preserve">□ </w:t>
      </w:r>
      <w:r>
        <w:rPr>
          <w:rFonts w:ascii="Aptos" w:hAnsi="Aptos" w:eastAsia="Aptos"/>
          <w:sz w:val="21"/>
        </w:rPr>
        <w:t>Not Effective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Absence Rule: </w:t>
      </w:r>
      <w:r>
        <w:rPr>
          <w:rFonts w:ascii="Aptos" w:hAnsi="Aptos" w:eastAsia="Aptos"/>
          <w:color w:val="1F1F1F"/>
          <w:sz w:val="21"/>
        </w:rPr>
        <w:t>If this condition is not demonstrably satisfied, classify as Not Effective.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Decision Authority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  <w:t>Reviewer / Organization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Evidence Basis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  <w:t>Documented evidence used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Intervention Attempt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Method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Outcome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</w:tbl>
    <w:p>
      <w:pPr>
        <w:spacing w:after="80"/>
      </w:pP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Temporal Reference: </w:t>
      </w:r>
      <w:r>
        <w:rPr>
          <w:rFonts w:ascii="Aptos" w:hAnsi="Aptos" w:eastAsia="Aptos"/>
          <w:color w:val="1F1F1F"/>
          <w:sz w:val="21"/>
        </w:rPr>
        <w:t>Assessment limited to pre-irreversibility conditions.</w:t>
      </w:r>
    </w:p>
    <w:p>
      <w:pPr>
        <w:pStyle w:val="L30Body"/>
        <w:spacing w:after="80"/>
      </w:pPr>
      <w:r>
        <w:rPr>
          <w:rFonts w:ascii="Aptos" w:hAnsi="Aptos" w:eastAsia="Aptos"/>
          <w:b/>
          <w:color w:val="1F1F1F"/>
          <w:sz w:val="21"/>
        </w:rPr>
        <w:t xml:space="preserve">Record Integrity: </w:t>
      </w:r>
      <w:r>
        <w:rPr>
          <w:rFonts w:ascii="Aptos" w:hAnsi="Aptos" w:eastAsia="Aptos"/>
          <w:color w:val="1F1F1F"/>
          <w:sz w:val="21"/>
        </w:rPr>
        <w:t>This record must be append-only. No post-hoc modification permitted.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Analytical Extension — Optional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Stage of failure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Contributing factors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System characteristics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Human/system interaction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A"/>
          </w:tcPr>
          <w:p>
            <w:r>
              <w:rPr>
                <w:rFonts w:ascii="Aptos" w:hAnsi="Aptos" w:eastAsia="Aptos"/>
                <w:b/>
                <w:color w:val="1F4E79"/>
                <w:sz w:val="20"/>
              </w:rPr>
              <w:t>Reviewer Notes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sz w:val="20"/>
              </w:rPr>
              <w:t>Additional observations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F4E79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22"/>
              </w:rPr>
              <w:t>Modification and Attribution Policy</w:t>
            </w:r>
          </w:p>
        </w:tc>
      </w:tr>
    </w:tbl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This template may be copied, extended, or modified.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The name "LUMINA-30" must be retained in all copies and derivatives.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Only unmodified versions may be identified as official templates of LUMINA-30.</w:t>
      </w:r>
    </w:p>
    <w:p>
      <w:pPr>
        <w:pStyle w:val="ListBullet"/>
        <w:spacing w:after="40"/>
        <w:ind w:left="0"/>
      </w:pPr>
      <w:r>
        <w:rPr>
          <w:rFonts w:ascii="Aptos" w:hAnsi="Aptos" w:eastAsia="Aptos"/>
          <w:sz w:val="21"/>
        </w:rPr>
        <w:t>Modified versions must be clearly labeled as: "Modified version based on LUMINA-30" and must not be presented as the original.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30Body">
    <w:name w:val="L30 Body"/>
    <w:rPr>
      <w:rFonts w:ascii="Aptos" w:hAnsi="Aptos" w:eastAsia="Aptos"/>
      <w:sz w:val="21"/>
    </w:rPr>
  </w:style>
  <w:style w:type="paragraph" w:customStyle="1" w:styleId="L30Small">
    <w:name w:val="L30 Small"/>
    <w:rPr>
      <w:rFonts w:ascii="Aptos" w:hAnsi="Aptos" w:eastAsia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