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750A4"/>
          <w:sz w:val="44"/>
          <w:szCs w:val="44"/>
        </w:rPr>
        <w:t xml:space="preserve">Grit 视觉优化方案</w:t>
      </w:r>
    </w:p>
    <w:p>
      <w:pPr>
        <w:spacing w:after="40"/>
      </w:pPr>
      <w:r>
        <w:rPr>
          <w:color w:val="5F6368"/>
          <w:sz w:val="22"/>
          <w:szCs w:val="22"/>
        </w:rPr>
        <w:t xml:space="preserve">借鉴 HuskarUI (Ant Design) 设计语言，在 Jetpack Compose 内重构</w:t>
      </w:r>
    </w:p>
    <w:p>
      <w:pPr>
        <w:pBdr>
          <w:bottom w:val="single" w:color="1677FF" w:sz="12" w:space="6"/>
        </w:pBdr>
        <w:spacing w:after="200"/>
      </w:pPr>
      <w:r>
        <w:rPr>
          <w:i/>
          <w:iCs/>
          <w:color w:val="5F6368"/>
          <w:sz w:val="18"/>
          <w:szCs w:val="18"/>
        </w:rPr>
        <w:t xml:space="preserve">2026-07-13 · 目标应用 luminenoble/Grit · 参考 mengps/HuskarUI</w:t>
      </w:r>
    </w:p>
    <w:p>
      <w:pPr>
        <w:pStyle w:val="Heading1"/>
      </w:pPr>
      <w:r>
        <w:t xml:space="preserve">结论先行</w:t>
      </w:r>
    </w:p>
    <w:p>
      <w:pPr>
        <w:spacing w:after="120" w:line="276"/>
      </w:pPr>
      <w:r>
        <w:t xml:space="preserve">HuskarUI 的</w:t>
      </w:r>
      <w:r>
        <w:rPr>
          <w:b/>
          <w:bCs/>
          <w:color w:val="CF1322"/>
        </w:rPr>
        <w:t xml:space="preserve">代码不能移植</w:t>
      </w:r>
      <w:r>
        <w:t xml:space="preserve">到 Grit——两者是完全独立的技术栈（Qt Quick/QML vs Jetpack Compose），运行时无法互嵌，</w:t>
      </w:r>
      <w:r>
        <w:rPr>
          <w:rFonts w:ascii="Consolas" w:cs="Consolas" w:eastAsia="Consolas" w:hAnsi="Consolas"/>
          <w:sz w:val="18"/>
          <w:szCs w:val="18"/>
        </w:rPr>
        <w:t xml:space="preserve">.qml</w:t>
      </w:r>
      <w:r>
        <w:t xml:space="preserve"> 文件也无法在 Compose 中加载。能迁移的是它的</w:t>
      </w:r>
      <w:r>
        <w:rPr>
          <w:b/>
          <w:bCs/>
          <w:color w:val="1677FF"/>
        </w:rPr>
        <w:t xml:space="preserve">设计语言</w:t>
      </w:r>
      <w:r>
        <w:t xml:space="preserve">：Ant Design 那套成熟的 token 体系——色板、圆角、间距、字号、动效曲线。本方案把这些规范映射为 Compose 可实现的设计 token，并给出分优先级的组件改造清单。</w:t>
      </w:r>
    </w:p>
    <w:p>
      <w:pPr>
        <w:pStyle w:val="Heading1"/>
      </w:pPr>
      <w:r>
        <w:t xml:space="preserve">一、为什么不能直接移植：技术栈对照</w:t>
      </w:r>
    </w:p>
    <w:tbl>
      <w:tblPr>
        <w:tblW w:type="dxa" w:w="86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E0E0E0" w:sz="2"/>
          <w:insideV w:val="single" w:color="E0E0E0" w:sz="2"/>
        </w:tblBorders>
      </w:tblPr>
      <w:tblGrid>
        <w:gridCol w:w="1800"/>
        <w:gridCol w:w="3400"/>
        <w:gridCol w:w="3400"/>
      </w:tblGrid>
      <w:tr>
        <w:trPr>
          <w:tblHeader/>
        </w:trPr>
        <w:tc>
          <w:tcPr>
            <w:tcW w:type="dxa" w:w="1800"/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3400"/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Grit（目标）</w:t>
            </w:r>
          </w:p>
        </w:tc>
        <w:tc>
          <w:tcPr>
            <w:tcW w:type="dxa" w:w="3400"/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HuskarUI（参考）</w:t>
            </w:r>
          </w:p>
        </w:tc>
      </w:tr>
      <w:tr>
        <w:tc>
          <w:tcPr>
            <w:tcW w:type="dxa" w:w="1800"/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语言</w:t>
            </w:r>
          </w:p>
        </w:tc>
        <w:tc>
          <w:tcPr>
            <w:tcW w:type="dxa" w:w="3400"/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Kotlin</w:t>
            </w:r>
          </w:p>
        </w:tc>
        <w:tc>
          <w:tcPr>
            <w:tcW w:type="dxa" w:w="3400"/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C++ + QML / JavaScript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UI 框架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Jetpack Compose / Compose Multiplatform（声明式）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Qt Quick (Qml)</w:t>
            </w:r>
          </w:p>
        </w:tc>
      </w:tr>
      <w:tr>
        <w:tc>
          <w:tcPr>
            <w:tcW w:type="dxa" w:w="1800"/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渲染引擎</w:t>
            </w:r>
          </w:p>
        </w:tc>
        <w:tc>
          <w:tcPr>
            <w:tcW w:type="dxa" w:w="3400"/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Skia via Compose</w:t>
            </w:r>
          </w:p>
        </w:tc>
        <w:tc>
          <w:tcPr>
            <w:tcW w:type="dxa" w:w="3400"/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Qt Quick Scene Graph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主题体系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Material 3 Expressive + MaterialKolor 动态取色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Ant Design token（genColor/genRadius/genFontSize）</w:t>
            </w:r>
          </w:p>
        </w:tc>
      </w:tr>
      <w:tr>
        <w:tc>
          <w:tcPr>
            <w:tcW w:type="dxa" w:w="1800"/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平台</w:t>
            </w:r>
          </w:p>
        </w:tc>
        <w:tc>
          <w:tcPr>
            <w:tcW w:type="dxa" w:w="3400"/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Android + Web (Kotlin/wasm)</w:t>
            </w:r>
          </w:p>
        </w:tc>
        <w:tc>
          <w:tcPr>
            <w:tcW w:type="dxa" w:w="3400"/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Windows/Linux/macOS/Android（Qt 全平台）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组件形态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@Composable 函数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173 个 .qml + 26 个 .cpp</w:t>
            </w:r>
          </w:p>
        </w:tc>
      </w:tr>
    </w:tbl>
    <w:p>
      <w:pPr>
        <w:spacing w:after="120" w:line="276"/>
      </w:pPr>
      <w:r>
        <w:t xml:space="preserve">换言之，两者连界面树都不共享。把 HuskarUI 组件搬过来 = 用 Compose 重写，工作量等同从零实现。所以正确的做法不是移植代码，而是</w:t>
      </w:r>
      <w:r>
        <w:rPr>
          <w:b/>
          <w:bCs/>
        </w:rPr>
        <w:t xml:space="preserve">提炼设计规范再用 Compose 落地</w:t>
      </w:r>
      <w:r>
        <w:t xml:space="preserve">。</w:t>
      </w:r>
    </w:p>
    <w:p>
      <w:pPr>
        <w:pStyle w:val="Heading1"/>
      </w:pPr>
      <w:r>
        <w:t xml:space="preserve">二、可迁移的资产：HuskarUI / Ant Design 设计 token</w:t>
      </w:r>
    </w:p>
    <w:p>
      <w:pPr>
        <w:spacing w:after="120" w:line="276"/>
      </w:pPr>
      <w:r>
        <w:t xml:space="preserve">HuskarUI 主题源码（</w:t>
      </w:r>
      <w:r>
        <w:rPr>
          <w:rFonts w:ascii="Consolas" w:cs="Consolas" w:eastAsia="Consolas" w:hAnsi="Consolas"/>
          <w:sz w:val="18"/>
          <w:szCs w:val="18"/>
        </w:rPr>
        <w:t xml:space="preserve">src/cpp/theme/hustheme.cpp</w:t>
      </w:r>
      <w:r>
        <w:t xml:space="preserve">）表明它完整复刻了 Ant Design 的 token 生成算法：以基准值经算法派生整套色阶/字阶/圆角阶。核心基准如下，可直接作为 Grit 的设计参照。</w:t>
      </w:r>
    </w:p>
    <w:tbl>
      <w:tblPr>
        <w:tblW w:type="dxa" w:w="86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E0E0E0" w:sz="2"/>
          <w:insideV w:val="single" w:color="E0E0E0" w:sz="2"/>
        </w:tblBorders>
      </w:tblPr>
      <w:tblGrid>
        <w:gridCol w:w="2100"/>
        <w:gridCol w:w="2600"/>
        <w:gridCol w:w="3900"/>
      </w:tblGrid>
      <w:tr>
        <w:trPr>
          <w:tblHeader/>
        </w:trPr>
        <w:tc>
          <w:tcPr>
            <w:tcW w:type="dxa" w:w="2100"/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600"/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Ant/HuskarUI 基准</w:t>
            </w:r>
          </w:p>
        </w:tc>
        <w:tc>
          <w:tcPr>
            <w:tcW w:type="dxa" w:w="3900"/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语义 / 用途</w:t>
            </w:r>
          </w:p>
        </w:tc>
      </w:tr>
      <w:tr>
        <w:tc>
          <w:tcPr>
            <w:tcW w:type="dxa" w:w="2100"/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colorPrimary</w:t>
            </w:r>
          </w:p>
        </w:tc>
        <w:tc>
          <w:tcPr>
            <w:tcW w:type="dxa" w:w="2600"/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#1677FF</w:t>
            </w:r>
          </w:p>
        </w:tc>
        <w:tc>
          <w:tcPr>
            <w:tcW w:type="dxa" w:w="3900"/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主色（Grit 保留 Material 种子色即可，映射概念一致）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colorSuccess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#52C41A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习惯完成 / 任务勾选态</w:t>
            </w:r>
          </w:p>
        </w:tc>
      </w:tr>
      <w:tr>
        <w:tc>
          <w:tcPr>
            <w:tcW w:type="dxa" w:w="2100"/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colorWarning</w:t>
            </w:r>
          </w:p>
        </w:tc>
        <w:tc>
          <w:tcPr>
            <w:tcW w:type="dxa" w:w="2600"/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#FAAD14</w:t>
            </w:r>
          </w:p>
        </w:tc>
        <w:tc>
          <w:tcPr>
            <w:tcW w:type="dxa" w:w="3900"/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临期提醒 / 待办超时预警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colorError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#FF4D4F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删除 / 失败 / 中断连续记录</w:t>
            </w:r>
          </w:p>
        </w:tc>
      </w:tr>
      <w:tr>
        <w:tc>
          <w:tcPr>
            <w:tcW w:type="dxa" w:w="2100"/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colorInfo</w:t>
            </w:r>
          </w:p>
        </w:tc>
        <w:tc>
          <w:tcPr>
            <w:tcW w:type="dxa" w:w="2600"/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#1677FF</w:t>
            </w:r>
          </w:p>
        </w:tc>
        <w:tc>
          <w:tcPr>
            <w:tcW w:type="dxa" w:w="3900"/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中性信息提示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radiusBase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 dp（派生 2/4/6/8…）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圆角基准，卡片用 2x~3x</w:t>
            </w:r>
          </w:p>
        </w:tc>
      </w:tr>
      <w:tr>
        <w:tc>
          <w:tcPr>
            <w:tcW w:type="dxa" w:w="2100"/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fontSizeBase</w:t>
            </w:r>
          </w:p>
        </w:tc>
        <w:tc>
          <w:tcPr>
            <w:tcW w:type="dxa" w:w="2600"/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14（派生字阶）</w:t>
            </w:r>
          </w:p>
        </w:tc>
        <w:tc>
          <w:tcPr>
            <w:tcW w:type="dxa" w:w="3900"/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正文基准，标题按比率放大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尺寸比率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normal 2.0 / veryLarge 5.0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控件高度、间距的档位系统</w:t>
            </w:r>
          </w:p>
        </w:tc>
      </w:tr>
    </w:tbl>
    <w:p>
      <w:pPr>
        <w:spacing w:after="120" w:line="276"/>
      </w:pPr>
      <w:r>
        <w:t xml:space="preserve">要点：HuskarUI 的精髓不是某个颜色值，而是</w:t>
      </w:r>
      <w:r>
        <w:rPr>
          <w:b/>
          <w:bCs/>
          <w:color w:val="1677FF"/>
        </w:rPr>
        <w:t xml:space="preserve">基准 + 派生 + 语义命名</w:t>
      </w:r>
      <w:r>
        <w:t xml:space="preserve"> 的 token 思维。Grit 目前把圆角、间距等散写在各组件里（例如 </w:t>
      </w:r>
      <w:r>
        <w:rPr>
          <w:rFonts w:ascii="Consolas" w:cs="Consolas" w:eastAsia="Consolas" w:hAnsi="Consolas"/>
          <w:sz w:val="18"/>
          <w:szCs w:val="18"/>
        </w:rPr>
        <w:t xml:space="preserve">TaskCard</w:t>
      </w:r>
      <w:r>
        <w:t xml:space="preserve"> 里硬编码 </w:t>
      </w:r>
      <w:r>
        <w:rPr>
          <w:rFonts w:ascii="Consolas" w:cs="Consolas" w:eastAsia="Consolas" w:hAnsi="Consolas"/>
          <w:sz w:val="18"/>
          <w:szCs w:val="18"/>
        </w:rPr>
        <w:t xml:space="preserve">RoundedCornerShape(4.dp)</w:t>
      </w:r>
      <w:r>
        <w:t xml:space="preserve">），正是这套思维能改善的地方。</w:t>
      </w:r>
    </w:p>
    <w:p>
      <w:pPr>
        <w:pStyle w:val="Heading1"/>
      </w:pPr>
      <w:r>
        <w:t xml:space="preserve">三、Grit 现状盘点</w:t>
      </w:r>
    </w:p>
    <w:p>
      <w:pPr>
        <w:spacing w:after="120" w:line="276"/>
      </w:pPr>
      <w:r>
        <w:t xml:space="preserve">整体架构清晰，视觉可配置性已有基础，改造风险可控。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主题入口：</w:t>
      </w:r>
      <w:r>
        <w:rPr>
          <w:rFonts w:ascii="Consolas" w:cs="Consolas" w:eastAsia="Consolas" w:hAnsi="Consolas"/>
          <w:sz w:val="18"/>
          <w:szCs w:val="18"/>
        </w:rPr>
        <w:t xml:space="preserve">shared/ui/.../theme/GritTheme.kt</w:t>
      </w:r>
      <w:r>
        <w:t xml:space="preserve">，expect/actual 各平台一份；Android 端已用 </w:t>
      </w:r>
      <w:r>
        <w:rPr>
          <w:rFonts w:ascii="Consolas" w:cs="Consolas" w:eastAsia="Consolas" w:hAnsi="Consolas"/>
          <w:sz w:val="18"/>
          <w:szCs w:val="18"/>
        </w:rPr>
        <w:t xml:space="preserve">MaterialExpressiveTheme + MotionScheme.expressive()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主题模型：</w:t>
      </w:r>
      <w:r>
        <w:rPr>
          <w:rFonts w:ascii="Consolas" w:cs="Consolas" w:eastAsia="Consolas" w:hAnsi="Consolas"/>
          <w:sz w:val="18"/>
          <w:szCs w:val="18"/>
        </w:rPr>
        <w:t xml:space="preserve">core/theme/Theme.kt</w:t>
      </w:r>
      <w:r>
        <w:t xml:space="preserve"> 已支持 亮/暗/AMOLED、Material You、字体、调色板风格、种子色——配置维度充足。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动态取色：</w:t>
      </w:r>
      <w:r>
        <w:t xml:space="preserve">MaterialKolor rememberDynamicColorScheme，从种子色生成完整 Material 3 色板。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组件规模：</w:t>
      </w:r>
      <w:r>
        <w:t xml:space="preserve">86 个 Kotlin UI 文件，分 task / habit / setting 三大模块，结构规整。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CF1322"/>
        </w:rPr>
        <w:t xml:space="preserve">最明显短板：</w:t>
      </w:r>
      <w:r>
        <w:t xml:space="preserve">圆角保守（TaskCard 仅 4dp）、缺少统一 token 层、语义色未与业务状态绑定、层次感偏平。</w:t>
      </w:r>
    </w:p>
    <w:p>
      <w:pPr>
        <w:pStyle w:val="Heading1"/>
      </w:pPr>
      <w:r>
        <w:t xml:space="preserve">四、优化方案（按优先级）</w:t>
      </w:r>
    </w:p>
    <w:p>
      <w:pPr>
        <w:pStyle w:val="Heading2"/>
      </w:pPr>
      <w:r>
        <w:t xml:space="preserve">P0 · 建立设计 Token 层（地基）</w:t>
      </w:r>
    </w:p>
    <w:p>
      <w:pPr>
        <w:spacing w:after="120" w:line="276"/>
      </w:pPr>
      <w:r>
        <w:t xml:space="preserve">新建集中式 token，把散落各处的魔法数字收敛，仿 Ant Design 的基准-派生思路。这是后续所有改动的前提。</w:t>
      </w:r>
    </w:p>
    <w:p>
      <w:pPr>
        <w:shd w:fill="F2F3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// shared/ui/.../theme/GritTokens.kt</w:t>
      </w:r>
    </w:p>
    <w:p>
      <w:pPr>
        <w:shd w:fill="F2F3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object GritRadius { val sm=4.dp; val md=12.dp; val lg=16.dp; val xl=24.dp }</w:t>
      </w:r>
    </w:p>
    <w:p>
      <w:pPr>
        <w:shd w:fill="F2F3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object GritSpacing { val xs=4.dp; val sm=8.dp; val md=12.dp; val lg=16.dp; val xl=24.dp }</w:t>
      </w:r>
    </w:p>
    <w:p>
      <w:pPr>
        <w:shd w:fill="F2F3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object GritSemantic { val success=Color(0xFF52C41A); val warning=Color(0xFFFAAD14);</w:t>
      </w:r>
    </w:p>
    <w:p>
      <w:pPr>
        <w:shd w:fill="F2F3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val error=Color(0xFFFF4D4F); val info=Color(0xFF1677FF) }</w:t>
      </w:r>
    </w:p>
    <w:p>
      <w:pPr>
        <w:pStyle w:val="Heading2"/>
      </w:pPr>
      <w:r>
        <w:t xml:space="preserve">P1 · 卡片与列表重塑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圆角升级：</w:t>
      </w:r>
      <w:r>
        <w:t xml:space="preserve">TaskCard / HabitCard 的圆角从 4dp → 12~16dp（GritRadius.md/lg），第一眼质感提升最大。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层次分离：</w:t>
      </w:r>
      <w:r>
        <w:t xml:space="preserve">用 surfaceContainer 分层 + 1dp 细描边替代纯色块，模拟 Ant Design 卡片的轻投影质感（暗色下更干净）。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留白节奏：</w:t>
      </w:r>
      <w:r>
        <w:t xml:space="preserve">内边距统一走 GritSpacing，卡片间距 8→12dp，列表呼吸感更好。</w:t>
      </w:r>
    </w:p>
    <w:p>
      <w:pPr>
        <w:pStyle w:val="Heading2"/>
      </w:pPr>
      <w:r>
        <w:t xml:space="preserve">P2 · 色彩语义化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把 GritSemantic 绑定到业务态：</w:t>
      </w:r>
      <w:r>
        <w:t xml:space="preserve">习惯完成=success、任务临期=warning、删除/断连=error，替换现在完成态用 onSurface 变灰的单一处理。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分类标签（Category）</w:t>
      </w:r>
      <w:r>
        <w:t xml:space="preserve">用语义色的浅色容器（如 success 的 12% 透明底）做 chip，弱化纯灰。</w:t>
      </w:r>
    </w:p>
    <w:p>
      <w:pPr>
        <w:spacing w:after="120" w:line="276"/>
      </w:pPr>
      <w:r>
        <w:rPr>
          <w:i/>
          <w:iCs/>
          <w:color w:val="5F6368"/>
        </w:rPr>
        <w:t xml:space="preserve">注意：保留 MaterialKolor 动态取色作为主色来源，语义色仅作为固定状态色叠加，两套体系不冲突。</w:t>
      </w:r>
    </w:p>
    <w:p>
      <w:pPr>
        <w:pStyle w:val="Heading2"/>
      </w:pPr>
      <w:r>
        <w:t xml:space="preserve">P3 · 动效打磨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已具备 expressive motion，可在列表增删、勾选完成时补 spatial 过渡（animateItemPlacement + fastSpatialSpec）。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勾选任务时加短促的 scale/透明度反馈，呼应 Ant Design 的交互确认感。</w:t>
      </w:r>
    </w:p>
    <w:p>
      <w:pPr>
        <w:pStyle w:val="Heading1"/>
      </w:pPr>
      <w:r>
        <w:t xml:space="preserve">五、建议落地顺序</w:t>
      </w:r>
    </w:p>
    <w:tbl>
      <w:tblPr>
        <w:tblW w:type="dxa" w:w="86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E0E0E0" w:sz="2"/>
          <w:insideV w:val="single" w:color="E0E0E0" w:sz="2"/>
        </w:tblBorders>
      </w:tblPr>
      <w:tblGrid>
        <w:gridCol w:w="900"/>
        <w:gridCol w:w="3400"/>
        <w:gridCol w:w="3200"/>
        <w:gridCol w:w="1100"/>
      </w:tblGrid>
      <w:tr>
        <w:trPr>
          <w:tblHeader/>
        </w:trPr>
        <w:tc>
          <w:tcPr>
            <w:tcW w:type="dxa" w:w="900"/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3400"/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3200"/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涉及文件</w:t>
            </w:r>
          </w:p>
        </w:tc>
        <w:tc>
          <w:tcPr>
            <w:tcW w:type="dxa" w:w="1100"/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风险</w:t>
            </w:r>
          </w:p>
        </w:tc>
      </w:tr>
      <w:tr>
        <w:tc>
          <w:tcPr>
            <w:tcW w:type="dxa" w:w="900"/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建 GritTokens 层</w:t>
            </w:r>
          </w:p>
        </w:tc>
        <w:tc>
          <w:tcPr>
            <w:tcW w:type="dxa" w:w="3200"/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新增 1 个文件</w:t>
            </w:r>
          </w:p>
        </w:tc>
        <w:tc>
          <w:tcPr>
            <w:tcW w:type="dxa" w:w="1100"/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极低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TaskCard / HabitCard 圆角+层次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task/、habit/ 下 component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低</w:t>
            </w:r>
          </w:p>
        </w:tc>
      </w:tr>
      <w:tr>
        <w:tc>
          <w:tcPr>
            <w:tcW w:type="dxa" w:w="900"/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语义色接入业务状态</w:t>
            </w:r>
          </w:p>
        </w:tc>
        <w:tc>
          <w:tcPr>
            <w:tcW w:type="dxa" w:w="3200"/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卡片 + Category chip</w:t>
            </w:r>
          </w:p>
        </w:tc>
        <w:tc>
          <w:tcPr>
            <w:tcW w:type="dxa" w:w="1100"/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低-中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动效与微交互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列表 section + 卡片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</w:tr>
    </w:tbl>
    <w:p>
      <w:pPr>
        <w:spacing w:after="120" w:line="276"/>
      </w:pPr>
      <w:r>
        <w:t xml:space="preserve">每一阶段都可独立编译验证、单独出 diff，不会互相阻塞。建议从</w:t>
      </w:r>
      <w:r>
        <w:rPr>
          <w:b/>
          <w:bCs/>
        </w:rPr>
        <w:t xml:space="preserve">阶段 1+2</w:t>
      </w:r>
      <w:r>
        <w:t xml:space="preserve">开始试点——改动最小、观感提升最直接。</w:t>
      </w:r>
    </w:p>
    <w:p>
      <w:pPr>
        <w:pStyle w:val="Heading1"/>
      </w:pPr>
      <w:r>
        <w:t xml:space="preserve">六、注意事项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不要引入 Qt/HuskarUI 任何二进制或 .qml 依赖——纯粹作视觉参考。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所有改动应兼容三平台（Android / jvm / wasmJs），token 与语义色放在 commonMain。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尊重现有 AMOLED / Material You 分支，语义色在暗色下需另调一档明度，避免刺眼。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项目用 spotless + ktfmt，改完需过格式化，否则 CI 失败。</w:t>
      </w:r>
    </w:p>
    <w:p>
      <w:pPr>
        <w:pBdr>
          <w:top w:val="single" w:color="1677FF" w:sz="8" w:space="6"/>
        </w:pBdr>
        <w:spacing w:before="300"/>
      </w:pPr>
      <w:r>
        <w:rPr>
          <w:i/>
          <w:iCs/>
          <w:color w:val="5F6368"/>
          <w:sz w:val="18"/>
          <w:szCs w:val="18"/>
        </w:rPr>
        <w:t xml:space="preserve">下一步：确认本方案后，可从阶段 1+2 开始实际改代码，产出可运行的 diff。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</w:pPr>
    <w:rPr>
      <w:b/>
      <w:bCs/>
      <w:color w:val="6750A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3A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2026-07-13T05:13:18.383Z</dcterms:created>
  <dcterms:modified xsi:type="dcterms:W3CDTF">2026-07-13T05:13:18.383Z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