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杆杆响天梯赛产品白皮书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发布日期：2026年【3】月【9】日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版权所有：武汉未来之翼体育科技有限公司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引言：重新定义台球竞技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公司介绍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产品核心理念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天梯赛系统功能详解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球房等级体系（L1-L4）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积分经济模型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多端展示与用户体验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技术架构与数据安全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商业模式与合作价值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市场前景与战略规划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结语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引言：重新定义台球竞技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台球，这项兼具绅士风度与竞技激情的运动，长期以来在数字化与游戏化体验上存在巨大空白。传统的台球厅面临着客流不稳定、客户粘性低、缺乏差异化竞争手段等普遍痛点。与此同时，新一代年轻消费者对“体验式消费”、“社交化娱乐”、“游戏化竞技”的需求日益增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杆杆响天梯赛</w:t>
      </w:r>
      <w:r>
        <w:rPr>
          <w:rFonts w:eastAsia="等线" w:ascii="Arial" w:cs="Arial" w:hAnsi="Arial"/>
          <w:sz w:val="22"/>
        </w:rPr>
        <w:t>应运而生。我们致力于通过数字化技术与游戏化设计，将传统的台球场馆升级为“数据驱动的竞技社交平台”，让每一次击球都产生价值，让每一家球房都成为本地的竞技中心。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公司介绍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武汉未来之翼体育科技有限公司</w:t>
      </w:r>
      <w:r>
        <w:rPr>
          <w:rFonts w:eastAsia="等线" w:ascii="Arial" w:cs="Arial" w:hAnsi="Arial"/>
          <w:sz w:val="22"/>
        </w:rPr>
        <w:t>，成立于2024年7月，是一家专注于以“数字化与游戏化”重构台球运动体验与消费场景的科技公司。公司核心团队来自互联网、体育产业和游戏设计领域，深刻理解传统体育场馆的运营痛点与新一代消费者的行为偏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公司旗下核心品牌 </w:t>
      </w:r>
      <w:r>
        <w:rPr>
          <w:rFonts w:eastAsia="等线" w:ascii="Arial" w:cs="Arial" w:hAnsi="Arial"/>
          <w:b w:val="true"/>
          <w:sz w:val="22"/>
        </w:rPr>
        <w:t>“杆杆响”</w:t>
      </w:r>
      <w:r>
        <w:rPr>
          <w:rFonts w:eastAsia="等线" w:ascii="Arial" w:cs="Arial" w:hAnsi="Arial"/>
          <w:sz w:val="22"/>
        </w:rPr>
        <w:t>，寓意每一次击球都有回响——不仅是清脆的撞球声，更是积分、排名与荣誉的共鸣。我们致力于通过自主研发的“杆杆响智慧台球生态系统”，连接球员、球房与产业资源，构建多方共赢的台球竞技新生态。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产品核心理念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从“散客”到“赛季会员”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传统球房的顾客是“来了就打，打完就走”的散客。天梯赛通过段位、积分、排行榜、赛季机制，将一次性消费转化为长期追逐，让顾客从“偶尔来打球的人”升级为“有身份、有目标的赛季会员”。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从“场地租赁”到“赛事运营”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球房的收入模式不应局限于台时费。天梯赛创造了多元化的收入来源：积分兑换带动附加消费、赛事活动创造额外营收、异业合作打开品牌联动空间。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从“单店经营”到“生态共建”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单个球房的力量有限，但联网的球房生态力量无限。通过L1-L4分级体系和跨店赛事联动，我们正在构建一个覆盖全城的台球竞技网络，让优秀球房脱颖而出，让所有参与者共享生态增长红利。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天梯赛系统功能详解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核心功能模块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4830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天梯排名系统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实时更新的动态排行榜，段位从青铜到王者，激励持续竞争。支持本店排名、区域排名、全城排名多维度展示。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积分与兑换体系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每场比赛根据时长、局数、激烈度自动计算积分。积分可用于兑换店内商品、服务、装备，甚至提现。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赛事活动引擎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支持日常挑战赛、周赛、月赛、赛季总决赛等多种玩法。系统自动匹配、记录、结算。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多端展示系统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手机端个人数据、店内大屏实时榜单、后台管理看板，全方位营造竞技氛围。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玩家社群工具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内置约战、战绩分享、荣誉墙、消息通知等社交功能，增强玩家粘性。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商家管理后台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实时数据看板、积分核销、活动配置、经营分析、玩家管理，助力球房精细化运营。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 核心优势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游戏化设计</w:t>
      </w:r>
      <w:r>
        <w:rPr>
          <w:rFonts w:eastAsia="等线" w:ascii="Arial" w:cs="Arial" w:hAnsi="Arial"/>
          <w:sz w:val="22"/>
        </w:rPr>
        <w:t>：借鉴成熟游戏机制，让打球像“冲段位”一样上瘾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</w:t>
      </w:r>
      <w:r>
        <w:rPr>
          <w:rFonts w:eastAsia="等线" w:ascii="Arial" w:cs="Arial" w:hAnsi="Arial"/>
          <w:sz w:val="22"/>
        </w:rPr>
        <w:t>：所有决策基于真实行为数据，而非主观判断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轻量化部署</w:t>
      </w:r>
      <w:r>
        <w:rPr>
          <w:rFonts w:eastAsia="等线" w:ascii="Arial" w:cs="Arial" w:hAnsi="Arial"/>
          <w:sz w:val="22"/>
        </w:rPr>
        <w:t>：无需改造球房，扫码即可接入，3天快速上线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持续迭代</w:t>
      </w:r>
      <w:r>
        <w:rPr>
          <w:rFonts w:eastAsia="等线" w:ascii="Arial" w:cs="Arial" w:hAnsi="Arial"/>
          <w:sz w:val="22"/>
        </w:rPr>
        <w:t>：根据运营反馈不断优化，与球房共同成长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球房等级体系（L1-L4）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这是杆杆响生态的核心——</w:t>
      </w:r>
      <w:r>
        <w:rPr>
          <w:rFonts w:eastAsia="等线" w:ascii="Arial" w:cs="Arial" w:hAnsi="Arial"/>
          <w:b w:val="true"/>
          <w:sz w:val="22"/>
        </w:rPr>
        <w:t>动态晋级、权益递进、竞争驱动</w:t>
      </w:r>
      <w:r>
        <w:rPr>
          <w:rFonts w:eastAsia="等线" w:ascii="Arial" w:cs="Arial" w:hAnsi="Arial"/>
          <w:sz w:val="22"/>
        </w:rPr>
        <w:t>。球房从L4起步，通过运营数据达标，逐步升级至L3、L2，最高可成为城市地标级的L1“王者殿堂”。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核心权益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排他范围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晋级门槛（参考）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L4（基础级）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天梯入口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基础系统使用权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日常挑战赛功能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基础积分兑换支持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基础运营培训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购买即享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L3（区域据点）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社区中心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包含L4所有权益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• </w:t>
            </w:r>
            <w:r>
              <w:rPr>
                <w:rFonts w:eastAsia="等线" w:ascii="Arial" w:cs="Arial" w:hAnsi="Arial"/>
                <w:b w:val="true"/>
                <w:sz w:val="22"/>
              </w:rPr>
              <w:t>1.5公里独家保护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每周可举办官方认证晋级赛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优先接入城市级营销活动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专属运营指导群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1.5公里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连续3个月活跃玩家≥30人，月赛事≥4场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L2（竞技主场）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包含L3所有权益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• </w:t>
            </w:r>
            <w:r>
              <w:rPr>
                <w:rFonts w:eastAsia="等线" w:ascii="Arial" w:cs="Arial" w:hAnsi="Arial"/>
                <w:b w:val="true"/>
                <w:sz w:val="22"/>
              </w:rPr>
              <w:t>3公里独家保护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每月可举办段位晋级赛（铂金→星耀）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可承办区域联赛分区赛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参与城市联赛收入分成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3公里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连续6个月活跃玩家≥80人，月赛事≥8场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L1（王者殿堂）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城市地标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包含L2所有权益&lt;br&gt;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• </w:t>
            </w:r>
            <w:r>
              <w:rPr>
                <w:rFonts w:eastAsia="等线" w:ascii="Arial" w:cs="Arial" w:hAnsi="Arial"/>
                <w:b w:val="true"/>
                <w:sz w:val="22"/>
              </w:rPr>
              <w:t>8公里独占保护</w:t>
            </w:r>
            <w:r>
              <w:rPr>
                <w:rFonts w:eastAsia="等线" w:ascii="Arial" w:cs="Arial" w:hAnsi="Arial"/>
                <w:sz w:val="22"/>
              </w:rPr>
              <w:t>&lt;br&gt;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举办“王者”段位以上月度晋级赛及年度总决赛的垄断权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城市级赛事主办方身份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参与平台总利润分成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8公里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年度综合评估，区域Top1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动态晋级机制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：等级不是终身制，而是根据持续运营表现每半年评估一次。表现优秀者可晋级，表现欠佳者将收到优化辅导，持续不达标可能降级。这确保了生态的活力与公平。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积分经济模型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6.1 积分获取规则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天梯赛积分体系遵循三大核心原则：时间长、要赢、比赛激烈。所有规则设计均围绕这三点展开，确保用户行为与球房利益（更长的台时、更精彩的比赛）高度一致。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6.1.1 积分计算公式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单场比赛胜方获得的积分 = 基础局数分 + 额外奖励分，再乘以球房设定的积分产出比例。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2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基础局数分：按比赛实际完成的总局数计算（如5:4的比赛共9局，胜方基础分为9×5=45分）。局数越多，胜方获得的积分越高，直接激励玩家将比赛拖入更长局数。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额外奖励分：炸清/接清、双赛点等关键表现可叠加获得额外加分，让高光时刻价值更高。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积分产出比例：球房可根据自身台费标准在0.2倍至1.2倍之间调整，灵活控制积分发放总量（如台费较高的球房可设置0.6-1倍，推广期可设置1.2倍）。默认是1倍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示例：一场5:4的比赛，获胜方有一次炸清且进入双赛点，则胜方基础总分 = 9×5 + 5 + 10 = 60分。若球房设置产出比例为0.6，则该胜方实际获得36分。败方不得分。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6.1.2 其他获取方式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除比赛外，玩家还可通过以下行为获得积分（由球房手动发放）：</w:t>
      </w:r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6.1.3 系统自动发放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比赛对局产生的积分由天梯系统自动计算并发放至胜方账户，无需人工干预，确保高效准确。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6.1.4 设计逻辑总结</w:t>
      </w:r>
      <w:bookmarkEnd w:id="16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这套规则将用户对高额积分的追求，自然转化为 “为球房创造最长台时、最精彩内容、最好传播素材” 的实际行动，实现用户激励与球房收益的完美统一。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 积分消耗场景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消耗渠道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具体形式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设计价值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店内兑换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兑换饮品、台时券、器材、服务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高毛利附加消费，盘活闲置资源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设置提现门槛（如累计胜场≥10场）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制造终极吸引力，但控制现金流出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抽奖/盲盒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积分抽奖池，抽取大奖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沉淀积分，创造惊喜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虚拟荣誉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兑换虚拟勋章、特效、主页装扮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零成本消耗，满足荣誉感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6.3 球房成本收益模型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球房投入</w:t>
      </w:r>
      <w:r>
        <w:rPr>
          <w:rFonts w:eastAsia="等线" w:ascii="Arial" w:cs="Arial" w:hAnsi="Arial"/>
          <w:sz w:val="22"/>
        </w:rPr>
        <w:t>：按需向平台购买积分（10积分=1元），目前各球馆独立。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积分消耗导向</w:t>
      </w:r>
      <w:r>
        <w:rPr>
          <w:rFonts w:eastAsia="等线" w:ascii="Arial" w:cs="Arial" w:hAnsi="Arial"/>
          <w:sz w:val="22"/>
        </w:rPr>
        <w:t>：80%以上积分流向店内高毛利消费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财务结果</w:t>
      </w:r>
      <w:r>
        <w:rPr>
          <w:rFonts w:eastAsia="等线" w:ascii="Arial" w:cs="Arial" w:hAnsi="Arial"/>
          <w:sz w:val="22"/>
        </w:rPr>
        <w:t>：投入100元积分成本，可带动185元以上新增利润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多端展示与用户体验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7.1 手机端（玩家个人终端）</w:t>
      </w:r>
      <w:bookmarkEnd w:id="2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个人数据面板（段位、积分、胜率、生涯数据）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实时排行榜（本店、区域、全城）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约战与挑战功能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战绩分享海报生成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积分商城兑换入口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7.2 店内大屏（公共终端）</w:t>
      </w:r>
      <w:bookmarkEnd w:id="2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实时更新的“天梯英雄榜”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今日高光时刻滚动展示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焦点赛事预告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月度/赛季荣誉墙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7.3 球房后台（管理终端）</w:t>
      </w:r>
      <w:bookmarkEnd w:id="2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实时数据看板（活跃玩家、比赛场次、积分流动）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积分核销管理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赛事配置与活动发布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玩家行为分析报告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 技术架构与数据安全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8.1 技术架构</w:t>
      </w:r>
      <w:bookmarkEnd w:id="2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：微信小程序，零下载、即用即走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</w:t>
      </w:r>
      <w:r>
        <w:rPr>
          <w:rFonts w:eastAsia="等线" w:ascii="Arial" w:cs="Arial" w:hAnsi="Arial"/>
          <w:sz w:val="22"/>
        </w:rPr>
        <w:t>：云原生架构，支持高并发弹性扩展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  <w:r>
        <w:rPr>
          <w:rFonts w:eastAsia="等线" w:ascii="Arial" w:cs="Arial" w:hAnsi="Arial"/>
          <w:sz w:val="22"/>
        </w:rPr>
        <w:t>：实时数据同步，毫秒级排名更新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安全层</w:t>
      </w:r>
      <w:r>
        <w:rPr>
          <w:rFonts w:eastAsia="等线" w:ascii="Arial" w:cs="Arial" w:hAnsi="Arial"/>
          <w:sz w:val="22"/>
        </w:rPr>
        <w:t>：多重加密，保障用户数据和交易安全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8.2 公平竞技保障</w:t>
      </w:r>
      <w:bookmarkEnd w:id="2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系统监测</w:t>
      </w:r>
      <w:r>
        <w:rPr>
          <w:rFonts w:eastAsia="等线" w:ascii="Arial" w:cs="Arial" w:hAnsi="Arial"/>
          <w:sz w:val="22"/>
        </w:rPr>
        <w:t>：智能算法自动标记异常对局（高频对战、异常比分）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人工复核</w:t>
      </w:r>
      <w:r>
        <w:rPr>
          <w:rFonts w:eastAsia="等线" w:ascii="Arial" w:cs="Arial" w:hAnsi="Arial"/>
          <w:sz w:val="22"/>
        </w:rPr>
        <w:t>：争议对局可调取视频证据（如有）进行仲裁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诚信分体系</w:t>
      </w:r>
      <w:r>
        <w:rPr>
          <w:rFonts w:eastAsia="等线" w:ascii="Arial" w:cs="Arial" w:hAnsi="Arial"/>
          <w:sz w:val="22"/>
        </w:rPr>
        <w:t>：违规行为扣除诚信分，影响提现和参赛资格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举报通道</w:t>
      </w:r>
      <w:r>
        <w:rPr>
          <w:rFonts w:eastAsia="等线" w:ascii="Arial" w:cs="Arial" w:hAnsi="Arial"/>
          <w:sz w:val="22"/>
        </w:rPr>
        <w:t>：玩家可随时举报可疑行为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9. 商业模式与合作价值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9.1 对球房的价值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具体体现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直接收入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台费增长、附加消费提升、赛事活动收入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客户粘性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从散客转化为赛季会员，复购率大幅提升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品牌壁垒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成为本地“官方认证竞技场”，建立差异化优势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数据资产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沉淀精准会员数据，支持长期精准运营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9.2 对玩家的价值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具体体现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竞技乐趣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段位晋升、排名竞争、荣誉勋章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物质回馈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积分兑换、提现、抽奖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社交归属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融入本地台球核心圈子，找到同道中人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成长记录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个人生涯数据、高光时刻永久保存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9.3 对赞助商的价值</w:t>
      </w:r>
      <w:bookmarkEnd w:id="2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精准曝光</w:t>
      </w:r>
      <w:r>
        <w:rPr>
          <w:rFonts w:eastAsia="等线" w:ascii="Arial" w:cs="Arial" w:hAnsi="Arial"/>
          <w:sz w:val="22"/>
        </w:rPr>
        <w:t>：直接触达高粘性年轻男性消费群体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场景植入</w:t>
      </w:r>
      <w:r>
        <w:rPr>
          <w:rFonts w:eastAsia="等线" w:ascii="Arial" w:cs="Arial" w:hAnsi="Arial"/>
          <w:sz w:val="22"/>
        </w:rPr>
        <w:t>：品牌成为“胜利”、“荣耀”的一部分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数据反馈</w:t>
      </w:r>
      <w:r>
        <w:rPr>
          <w:rFonts w:eastAsia="等线" w:ascii="Arial" w:cs="Arial" w:hAnsi="Arial"/>
          <w:sz w:val="22"/>
        </w:rPr>
        <w:t>：获得用户偏好与消费行为洞察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10. 市场前景与战略规划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10.1 市场机遇</w:t>
      </w:r>
      <w:bookmarkEnd w:id="31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一句话总结：台球行业正处于政策+消费+数字化三重红利叠加的黄金十年，是切入产业升级的最佳时机。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10.2 战略规划</w:t>
      </w:r>
      <w:bookmarkEnd w:id="32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10.3 战略愿景</w:t>
      </w:r>
      <w:bookmarkEnd w:id="3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让每一家球房，都成为充满荣耀的竞技主场；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让每一位爱好者，都在数字化赛事中找到归属与成就。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11. 结语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杆杆响天梯赛不仅仅是一套软件系统，更是一套</w:t>
      </w:r>
      <w:r>
        <w:rPr>
          <w:rFonts w:eastAsia="等线" w:ascii="Arial" w:cs="Arial" w:hAnsi="Arial"/>
          <w:b w:val="true"/>
          <w:sz w:val="22"/>
        </w:rPr>
        <w:t>经过精密设计的“游戏化竞技运营解决方案”</w:t>
      </w:r>
      <w:r>
        <w:rPr>
          <w:rFonts w:eastAsia="等线" w:ascii="Arial" w:cs="Arial" w:hAnsi="Arial"/>
          <w:sz w:val="22"/>
        </w:rPr>
        <w:t>。它将传统的台球消费升级为沉浸式的竞技体验，将零散的顾客转化为有粘性的会员，将孤立的球房连接成蓬勃发展的生态网络。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我们诚挚邀请有远见的球房经营者、品牌合作伙伴加入我们，共同定义台球运动的未来，共享这场数字化变革的增长红利。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武汉未来之翼体育科技有限公司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地址：武汉市【武昌区武车中路宸胜国际中心2807】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电话：【17798205032】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官网：【】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商务合作：bd@ggx.com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【附录】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附录A：球房等级权益详情表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附录B：积分经济模型技术说明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附录C：合作流程与合同模板索引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附录D：术语表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文档结束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439">
    <w:lvl>
      <w:start w:val="1"/>
      <w:numFmt w:val="decimal"/>
      <w:suff w:val="tab"/>
      <w:lvlText w:val="%1."/>
      <w:rPr>
        <w:color w:val="3370ff"/>
      </w:rPr>
    </w:lvl>
  </w:abstractNum>
  <w:abstractNum w:abstractNumId="87440">
    <w:lvl>
      <w:start w:val="2"/>
      <w:numFmt w:val="decimal"/>
      <w:suff w:val="tab"/>
      <w:lvlText w:val="%1."/>
      <w:rPr>
        <w:color w:val="3370ff"/>
      </w:rPr>
    </w:lvl>
  </w:abstractNum>
  <w:abstractNum w:abstractNumId="87441">
    <w:lvl>
      <w:start w:val="3"/>
      <w:numFmt w:val="decimal"/>
      <w:suff w:val="tab"/>
      <w:lvlText w:val="%1."/>
      <w:rPr>
        <w:color w:val="3370ff"/>
      </w:rPr>
    </w:lvl>
  </w:abstractNum>
  <w:abstractNum w:abstractNumId="87442">
    <w:lvl>
      <w:start w:val="4"/>
      <w:numFmt w:val="decimal"/>
      <w:suff w:val="tab"/>
      <w:lvlText w:val="%1."/>
      <w:rPr>
        <w:color w:val="3370ff"/>
      </w:rPr>
    </w:lvl>
  </w:abstractNum>
  <w:abstractNum w:abstractNumId="87443">
    <w:lvl>
      <w:start w:val="5"/>
      <w:numFmt w:val="decimal"/>
      <w:suff w:val="tab"/>
      <w:lvlText w:val="%1."/>
      <w:rPr>
        <w:color w:val="3370ff"/>
      </w:rPr>
    </w:lvl>
  </w:abstractNum>
  <w:abstractNum w:abstractNumId="87444">
    <w:lvl>
      <w:start w:val="6"/>
      <w:numFmt w:val="decimal"/>
      <w:suff w:val="tab"/>
      <w:lvlText w:val="%1."/>
      <w:rPr>
        <w:color w:val="3370ff"/>
      </w:rPr>
    </w:lvl>
  </w:abstractNum>
  <w:abstractNum w:abstractNumId="87445">
    <w:lvl>
      <w:start w:val="7"/>
      <w:numFmt w:val="decimal"/>
      <w:suff w:val="tab"/>
      <w:lvlText w:val="%1."/>
      <w:rPr>
        <w:color w:val="3370ff"/>
      </w:rPr>
    </w:lvl>
  </w:abstractNum>
  <w:abstractNum w:abstractNumId="87446">
    <w:lvl>
      <w:start w:val="8"/>
      <w:numFmt w:val="decimal"/>
      <w:suff w:val="tab"/>
      <w:lvlText w:val="%1."/>
      <w:rPr>
        <w:color w:val="3370ff"/>
      </w:rPr>
    </w:lvl>
  </w:abstractNum>
  <w:abstractNum w:abstractNumId="87447">
    <w:lvl>
      <w:start w:val="9"/>
      <w:numFmt w:val="decimal"/>
      <w:suff w:val="tab"/>
      <w:lvlText w:val="%1."/>
      <w:rPr>
        <w:color w:val="3370ff"/>
      </w:rPr>
    </w:lvl>
  </w:abstractNum>
  <w:abstractNum w:abstractNumId="87448">
    <w:lvl>
      <w:start w:val="10"/>
      <w:numFmt w:val="decimal"/>
      <w:suff w:val="tab"/>
      <w:lvlText w:val="%1."/>
      <w:rPr>
        <w:color w:val="3370ff"/>
      </w:rPr>
    </w:lvl>
  </w:abstractNum>
  <w:abstractNum w:abstractNumId="87449">
    <w:lvl>
      <w:start w:val="11"/>
      <w:numFmt w:val="decimal"/>
      <w:suff w:val="tab"/>
      <w:lvlText w:val="%1."/>
      <w:rPr>
        <w:color w:val="3370ff"/>
      </w:rPr>
    </w:lvl>
  </w:abstractNum>
  <w:abstractNum w:abstractNumId="87450">
    <w:lvl>
      <w:numFmt w:val="bullet"/>
      <w:suff w:val="tab"/>
      <w:lvlText w:val="•"/>
      <w:rPr>
        <w:color w:val="3370ff"/>
      </w:rPr>
    </w:lvl>
  </w:abstractNum>
  <w:abstractNum w:abstractNumId="87451">
    <w:lvl>
      <w:numFmt w:val="bullet"/>
      <w:suff w:val="tab"/>
      <w:lvlText w:val="•"/>
      <w:rPr>
        <w:color w:val="3370ff"/>
      </w:rPr>
    </w:lvl>
  </w:abstractNum>
  <w:abstractNum w:abstractNumId="87452">
    <w:lvl>
      <w:numFmt w:val="bullet"/>
      <w:suff w:val="tab"/>
      <w:lvlText w:val="•"/>
      <w:rPr>
        <w:color w:val="3370ff"/>
      </w:rPr>
    </w:lvl>
  </w:abstractNum>
  <w:abstractNum w:abstractNumId="87453">
    <w:lvl>
      <w:numFmt w:val="bullet"/>
      <w:suff w:val="tab"/>
      <w:lvlText w:val="•"/>
      <w:rPr>
        <w:color w:val="3370ff"/>
      </w:rPr>
    </w:lvl>
  </w:abstractNum>
  <w:abstractNum w:abstractNumId="87454">
    <w:lvl>
      <w:numFmt w:val="bullet"/>
      <w:suff w:val="tab"/>
      <w:lvlText w:val="•"/>
      <w:rPr>
        <w:color w:val="3370ff"/>
      </w:rPr>
    </w:lvl>
  </w:abstractNum>
  <w:abstractNum w:abstractNumId="87455">
    <w:lvl>
      <w:numFmt w:val="bullet"/>
      <w:suff w:val="tab"/>
      <w:lvlText w:val="•"/>
      <w:rPr>
        <w:color w:val="3370ff"/>
      </w:rPr>
    </w:lvl>
  </w:abstractNum>
  <w:abstractNum w:abstractNumId="87456">
    <w:lvl>
      <w:numFmt w:val="bullet"/>
      <w:suff w:val="tab"/>
      <w:lvlText w:val="•"/>
      <w:rPr>
        <w:color w:val="3370ff"/>
      </w:rPr>
    </w:lvl>
  </w:abstractNum>
  <w:abstractNum w:abstractNumId="87457">
    <w:lvl>
      <w:numFmt w:val="bullet"/>
      <w:suff w:val="tab"/>
      <w:lvlText w:val="•"/>
      <w:rPr>
        <w:color w:val="3370ff"/>
      </w:rPr>
    </w:lvl>
  </w:abstractNum>
  <w:abstractNum w:abstractNumId="87458">
    <w:lvl>
      <w:numFmt w:val="bullet"/>
      <w:suff w:val="tab"/>
      <w:lvlText w:val="•"/>
      <w:rPr>
        <w:color w:val="3370ff"/>
      </w:rPr>
    </w:lvl>
  </w:abstractNum>
  <w:abstractNum w:abstractNumId="87459">
    <w:lvl>
      <w:numFmt w:val="bullet"/>
      <w:suff w:val="tab"/>
      <w:lvlText w:val="•"/>
      <w:rPr>
        <w:color w:val="3370ff"/>
      </w:rPr>
    </w:lvl>
  </w:abstractNum>
  <w:abstractNum w:abstractNumId="87460">
    <w:lvl>
      <w:numFmt w:val="bullet"/>
      <w:suff w:val="tab"/>
      <w:lvlText w:val="•"/>
      <w:rPr>
        <w:color w:val="3370ff"/>
      </w:rPr>
    </w:lvl>
  </w:abstractNum>
  <w:abstractNum w:abstractNumId="87461">
    <w:lvl>
      <w:numFmt w:val="bullet"/>
      <w:suff w:val="tab"/>
      <w:lvlText w:val="•"/>
      <w:rPr>
        <w:color w:val="3370ff"/>
      </w:rPr>
    </w:lvl>
  </w:abstractNum>
  <w:abstractNum w:abstractNumId="87462">
    <w:lvl>
      <w:numFmt w:val="bullet"/>
      <w:suff w:val="tab"/>
      <w:lvlText w:val="•"/>
      <w:rPr>
        <w:color w:val="3370ff"/>
      </w:rPr>
    </w:lvl>
  </w:abstractNum>
  <w:abstractNum w:abstractNumId="87463">
    <w:lvl>
      <w:numFmt w:val="bullet"/>
      <w:suff w:val="tab"/>
      <w:lvlText w:val="•"/>
      <w:rPr>
        <w:color w:val="3370ff"/>
      </w:rPr>
    </w:lvl>
  </w:abstractNum>
  <w:abstractNum w:abstractNumId="87464">
    <w:lvl>
      <w:numFmt w:val="bullet"/>
      <w:suff w:val="tab"/>
      <w:lvlText w:val="•"/>
      <w:rPr>
        <w:color w:val="3370ff"/>
      </w:rPr>
    </w:lvl>
  </w:abstractNum>
  <w:abstractNum w:abstractNumId="87465">
    <w:lvl>
      <w:numFmt w:val="bullet"/>
      <w:suff w:val="tab"/>
      <w:lvlText w:val="•"/>
      <w:rPr>
        <w:color w:val="3370ff"/>
      </w:rPr>
    </w:lvl>
  </w:abstractNum>
  <w:abstractNum w:abstractNumId="87466">
    <w:lvl>
      <w:numFmt w:val="bullet"/>
      <w:suff w:val="tab"/>
      <w:lvlText w:val="•"/>
      <w:rPr>
        <w:color w:val="3370ff"/>
      </w:rPr>
    </w:lvl>
  </w:abstractNum>
  <w:abstractNum w:abstractNumId="87467">
    <w:lvl>
      <w:numFmt w:val="bullet"/>
      <w:suff w:val="tab"/>
      <w:lvlText w:val="•"/>
      <w:rPr>
        <w:color w:val="3370ff"/>
      </w:rPr>
    </w:lvl>
  </w:abstractNum>
  <w:abstractNum w:abstractNumId="87468">
    <w:lvl>
      <w:numFmt w:val="bullet"/>
      <w:suff w:val="tab"/>
      <w:lvlText w:val="•"/>
      <w:rPr>
        <w:color w:val="3370ff"/>
      </w:rPr>
    </w:lvl>
  </w:abstractNum>
  <w:abstractNum w:abstractNumId="87469">
    <w:lvl>
      <w:numFmt w:val="bullet"/>
      <w:suff w:val="tab"/>
      <w:lvlText w:val="•"/>
      <w:rPr>
        <w:color w:val="3370ff"/>
      </w:rPr>
    </w:lvl>
  </w:abstractNum>
  <w:abstractNum w:abstractNumId="87470">
    <w:lvl>
      <w:numFmt w:val="bullet"/>
      <w:suff w:val="tab"/>
      <w:lvlText w:val="•"/>
      <w:rPr>
        <w:color w:val="3370ff"/>
      </w:rPr>
    </w:lvl>
  </w:abstractNum>
  <w:abstractNum w:abstractNumId="87471">
    <w:lvl>
      <w:numFmt w:val="bullet"/>
      <w:suff w:val="tab"/>
      <w:lvlText w:val="•"/>
      <w:rPr>
        <w:color w:val="3370ff"/>
      </w:rPr>
    </w:lvl>
  </w:abstractNum>
  <w:abstractNum w:abstractNumId="87472">
    <w:lvl>
      <w:numFmt w:val="bullet"/>
      <w:suff w:val="tab"/>
      <w:lvlText w:val="•"/>
      <w:rPr>
        <w:color w:val="3370ff"/>
      </w:rPr>
    </w:lvl>
  </w:abstractNum>
  <w:abstractNum w:abstractNumId="87473">
    <w:lvl>
      <w:numFmt w:val="bullet"/>
      <w:suff w:val="tab"/>
      <w:lvlText w:val="•"/>
      <w:rPr>
        <w:color w:val="3370ff"/>
      </w:rPr>
    </w:lvl>
  </w:abstractNum>
  <w:abstractNum w:abstractNumId="87474">
    <w:lvl>
      <w:numFmt w:val="bullet"/>
      <w:suff w:val="tab"/>
      <w:lvlText w:val="•"/>
      <w:rPr>
        <w:color w:val="3370ff"/>
      </w:rPr>
    </w:lvl>
  </w:abstractNum>
  <w:abstractNum w:abstractNumId="87475">
    <w:lvl>
      <w:numFmt w:val="bullet"/>
      <w:suff w:val="tab"/>
      <w:lvlText w:val="•"/>
      <w:rPr>
        <w:color w:val="3370ff"/>
      </w:rPr>
    </w:lvl>
  </w:abstractNum>
  <w:abstractNum w:abstractNumId="87476">
    <w:lvl>
      <w:numFmt w:val="bullet"/>
      <w:suff w:val="tab"/>
      <w:lvlText w:val="•"/>
      <w:rPr>
        <w:color w:val="3370ff"/>
      </w:rPr>
    </w:lvl>
  </w:abstractNum>
  <w:abstractNum w:abstractNumId="87477">
    <w:lvl>
      <w:numFmt w:val="bullet"/>
      <w:suff w:val="tab"/>
      <w:lvlText w:val="•"/>
      <w:rPr>
        <w:color w:val="3370ff"/>
      </w:rPr>
    </w:lvl>
  </w:abstractNum>
  <w:abstractNum w:abstractNumId="87478">
    <w:lvl>
      <w:numFmt w:val="bullet"/>
      <w:suff w:val="tab"/>
      <w:lvlText w:val="•"/>
      <w:rPr>
        <w:color w:val="3370ff"/>
      </w:rPr>
    </w:lvl>
  </w:abstractNum>
  <w:abstractNum w:abstractNumId="87479">
    <w:lvl>
      <w:numFmt w:val="bullet"/>
      <w:suff w:val="tab"/>
      <w:lvlText w:val="•"/>
      <w:rPr>
        <w:color w:val="3370ff"/>
      </w:rPr>
    </w:lvl>
  </w:abstractNum>
  <w:abstractNum w:abstractNumId="87480">
    <w:lvl>
      <w:numFmt w:val="bullet"/>
      <w:suff w:val="tab"/>
      <w:lvlText w:val="•"/>
      <w:rPr>
        <w:color w:val="3370ff"/>
      </w:rPr>
    </w:lvl>
  </w:abstractNum>
  <w:abstractNum w:abstractNumId="87481">
    <w:lvl>
      <w:numFmt w:val="bullet"/>
      <w:suff w:val="tab"/>
      <w:lvlText w:val="•"/>
      <w:rPr>
        <w:color w:val="3370ff"/>
      </w:rPr>
    </w:lvl>
  </w:abstractNum>
  <w:abstractNum w:abstractNumId="87482">
    <w:lvl>
      <w:numFmt w:val="bullet"/>
      <w:suff w:val="tab"/>
      <w:lvlText w:val="•"/>
      <w:rPr>
        <w:color w:val="3370ff"/>
      </w:rPr>
    </w:lvl>
  </w:abstractNum>
  <w:abstractNum w:abstractNumId="87483">
    <w:lvl>
      <w:numFmt w:val="bullet"/>
      <w:suff w:val="tab"/>
      <w:lvlText w:val="•"/>
      <w:rPr>
        <w:color w:val="3370ff"/>
      </w:rPr>
    </w:lvl>
  </w:abstractNum>
  <w:abstractNum w:abstractNumId="87484">
    <w:lvl>
      <w:numFmt w:val="bullet"/>
      <w:suff w:val="tab"/>
      <w:lvlText w:val="•"/>
      <w:rPr>
        <w:color w:val="3370ff"/>
      </w:rPr>
    </w:lvl>
  </w:abstractNum>
  <w:abstractNum w:abstractNumId="87485">
    <w:lvl>
      <w:numFmt w:val="bullet"/>
      <w:suff w:val="tab"/>
      <w:lvlText w:val="•"/>
      <w:rPr>
        <w:color w:val="3370ff"/>
      </w:rPr>
    </w:lvl>
  </w:abstractNum>
  <w:abstractNum w:abstractNumId="87486">
    <w:lvl>
      <w:numFmt w:val="bullet"/>
      <w:suff w:val="tab"/>
      <w:lvlText w:val="•"/>
      <w:rPr>
        <w:color w:val="3370ff"/>
      </w:rPr>
    </w:lvl>
  </w:abstractNum>
  <w:abstractNum w:abstractNumId="87487">
    <w:lvl>
      <w:numFmt w:val="bullet"/>
      <w:suff w:val="tab"/>
      <w:lvlText w:val="•"/>
      <w:rPr>
        <w:color w:val="3370ff"/>
      </w:rPr>
    </w:lvl>
  </w:abstractNum>
  <w:num w:numId="1">
    <w:abstractNumId w:val="87439"/>
  </w:num>
  <w:num w:numId="2">
    <w:abstractNumId w:val="87440"/>
  </w:num>
  <w:num w:numId="3">
    <w:abstractNumId w:val="87441"/>
  </w:num>
  <w:num w:numId="4">
    <w:abstractNumId w:val="87442"/>
  </w:num>
  <w:num w:numId="5">
    <w:abstractNumId w:val="87443"/>
  </w:num>
  <w:num w:numId="6">
    <w:abstractNumId w:val="87444"/>
  </w:num>
  <w:num w:numId="7">
    <w:abstractNumId w:val="87445"/>
  </w:num>
  <w:num w:numId="8">
    <w:abstractNumId w:val="87446"/>
  </w:num>
  <w:num w:numId="9">
    <w:abstractNumId w:val="87447"/>
  </w:num>
  <w:num w:numId="10">
    <w:abstractNumId w:val="87448"/>
  </w:num>
  <w:num w:numId="11">
    <w:abstractNumId w:val="87449"/>
  </w:num>
  <w:num w:numId="12">
    <w:abstractNumId w:val="87450"/>
  </w:num>
  <w:num w:numId="13">
    <w:abstractNumId w:val="87451"/>
  </w:num>
  <w:num w:numId="14">
    <w:abstractNumId w:val="87452"/>
  </w:num>
  <w:num w:numId="15">
    <w:abstractNumId w:val="87453"/>
  </w:num>
  <w:num w:numId="16">
    <w:abstractNumId w:val="87454"/>
  </w:num>
  <w:num w:numId="17">
    <w:abstractNumId w:val="87455"/>
  </w:num>
  <w:num w:numId="18">
    <w:abstractNumId w:val="87456"/>
  </w:num>
  <w:num w:numId="19">
    <w:abstractNumId w:val="87457"/>
  </w:num>
  <w:num w:numId="20">
    <w:abstractNumId w:val="87458"/>
  </w:num>
  <w:num w:numId="21">
    <w:abstractNumId w:val="87459"/>
  </w:num>
  <w:num w:numId="22">
    <w:abstractNumId w:val="87460"/>
  </w:num>
  <w:num w:numId="23">
    <w:abstractNumId w:val="87461"/>
  </w:num>
  <w:num w:numId="24">
    <w:abstractNumId w:val="87462"/>
  </w:num>
  <w:num w:numId="25">
    <w:abstractNumId w:val="87463"/>
  </w:num>
  <w:num w:numId="26">
    <w:abstractNumId w:val="87464"/>
  </w:num>
  <w:num w:numId="27">
    <w:abstractNumId w:val="87465"/>
  </w:num>
  <w:num w:numId="28">
    <w:abstractNumId w:val="87466"/>
  </w:num>
  <w:num w:numId="29">
    <w:abstractNumId w:val="87467"/>
  </w:num>
  <w:num w:numId="30">
    <w:abstractNumId w:val="87468"/>
  </w:num>
  <w:num w:numId="31">
    <w:abstractNumId w:val="87469"/>
  </w:num>
  <w:num w:numId="32">
    <w:abstractNumId w:val="87470"/>
  </w:num>
  <w:num w:numId="33">
    <w:abstractNumId w:val="87471"/>
  </w:num>
  <w:num w:numId="34">
    <w:abstractNumId w:val="87472"/>
  </w:num>
  <w:num w:numId="35">
    <w:abstractNumId w:val="87473"/>
  </w:num>
  <w:num w:numId="36">
    <w:abstractNumId w:val="87474"/>
  </w:num>
  <w:num w:numId="37">
    <w:abstractNumId w:val="87475"/>
  </w:num>
  <w:num w:numId="38">
    <w:abstractNumId w:val="87476"/>
  </w:num>
  <w:num w:numId="39">
    <w:abstractNumId w:val="87477"/>
  </w:num>
  <w:num w:numId="40">
    <w:abstractNumId w:val="87478"/>
  </w:num>
  <w:num w:numId="41">
    <w:abstractNumId w:val="87479"/>
  </w:num>
  <w:num w:numId="42">
    <w:abstractNumId w:val="87480"/>
  </w:num>
  <w:num w:numId="43">
    <w:abstractNumId w:val="87481"/>
  </w:num>
  <w:num w:numId="44">
    <w:abstractNumId w:val="87482"/>
  </w:num>
  <w:num w:numId="45">
    <w:abstractNumId w:val="87483"/>
  </w:num>
  <w:num w:numId="46">
    <w:abstractNumId w:val="87484"/>
  </w:num>
  <w:num w:numId="47">
    <w:abstractNumId w:val="87485"/>
  </w:num>
  <w:num w:numId="48">
    <w:abstractNumId w:val="87486"/>
  </w:num>
  <w:num w:numId="49">
    <w:abstractNumId w:val="874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2026-03-14T13:01:06Z</dcterms:created>
  <dc:creator>Apache POI</dc:creator>
</cp:coreProperties>
</file>