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《球房等级体系（L1-L4）详解》—— 最终版（含城市类型与区域代理）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文档版本：V3.0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更新日期：2025年【】月【】日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归属模块：产品与战略层 · P-02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一、为什么需要区分城市类型？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台球市场地域差异显著：一二线城市球房高度密集，核心区每平方公里可达10-20家；而三四线城市及县域市场密度较低，球房分布相对分散。若采用统一的保护半径，必然导致“一线城市保护失效，下沉市场保护过度”。因此，我们根据不同城市类型，设置差异化的半径标准，并引入</w:t>
      </w:r>
      <w:r>
        <w:rPr>
          <w:rFonts w:eastAsia="等线" w:ascii="Arial" w:cs="Arial" w:hAnsi="Arial"/>
          <w:b w:val="true"/>
          <w:sz w:val="22"/>
        </w:rPr>
        <w:t>区域代理机制</w:t>
      </w:r>
      <w:r>
        <w:rPr>
          <w:rFonts w:eastAsia="等线" w:ascii="Arial" w:cs="Arial" w:hAnsi="Arial"/>
          <w:sz w:val="22"/>
        </w:rPr>
        <w:t>，让保护真正落地，让市场活力充分释放。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二、核心机制概述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区域代理制</w:t>
      </w:r>
      <w:r>
        <w:rPr>
          <w:rFonts w:eastAsia="等线" w:ascii="Arial" w:cs="Arial" w:hAnsi="Arial"/>
          <w:sz w:val="22"/>
        </w:rPr>
        <w:t>（重点面向一二线城市）：授权符合条件的球房或专业团队成为“区域代理”，享有该区域独家运营权，享受区域内所有球房的系统分成、积分流水提成。代理可灵活协调区域内球房布局，避免半径僵化。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球房等级制（L1-L4）</w:t>
      </w:r>
      <w:r>
        <w:rPr>
          <w:rFonts w:eastAsia="等线" w:ascii="Arial" w:cs="Arial" w:hAnsi="Arial"/>
          <w:sz w:val="22"/>
        </w:rPr>
        <w:t>：所有球房根据自身运营数据获得对应等级权益。代理区域内，代理可指定一家球房为L1“区域擂主”，作为赛事中心。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城市类型差异化半径</w:t>
      </w:r>
      <w:r>
        <w:rPr>
          <w:rFonts w:eastAsia="等线" w:ascii="Arial" w:cs="Arial" w:hAnsi="Arial"/>
          <w:sz w:val="22"/>
        </w:rPr>
        <w:t>：一二线城市采用较紧凑的半径（500m/1km/2km），其他城市采用标准半径（1.5km/3km/8km），确保保护既有意义又不阻碍市场发展。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三、区域代理机制（重点面向一二线城市）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3.1 代理资格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具备L2级以上球房运营经验，或拥有本地台球资源的专业团队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通过平台资质审核并缴纳保证金（金额按城市级别浮动）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3.2 代理权益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30"/>
        <w:gridCol w:w="5850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权益项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区域独家发展权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在授权区域内，平台不再直接发展其他球房，所有新客户须通过代理接入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系统费用分成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区域内所有球房（含代理自营）的系统使用费，代理享受 </w:t>
            </w:r>
            <w:r>
              <w:rPr>
                <w:rFonts w:eastAsia="等线" w:ascii="Arial" w:cs="Arial" w:hAnsi="Arial"/>
                <w:b w:val="true"/>
                <w:sz w:val="22"/>
              </w:rPr>
              <w:t>20%-30%</w:t>
            </w:r>
            <w:r>
              <w:rPr>
                <w:rFonts w:eastAsia="等线" w:ascii="Arial" w:cs="Arial" w:hAnsi="Arial"/>
                <w:sz w:val="22"/>
              </w:rPr>
              <w:t xml:space="preserve"> 分成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积分流水提成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区域内所有球房产生的积分消耗（兑换/提现），代理享受 </w:t>
            </w:r>
            <w:r>
              <w:rPr>
                <w:rFonts w:eastAsia="等线" w:ascii="Arial" w:cs="Arial" w:hAnsi="Arial"/>
                <w:b w:val="true"/>
                <w:sz w:val="22"/>
              </w:rPr>
              <w:t>5%-10%</w:t>
            </w:r>
            <w:r>
              <w:rPr>
                <w:rFonts w:eastAsia="等线" w:ascii="Arial" w:cs="Arial" w:hAnsi="Arial"/>
                <w:sz w:val="22"/>
              </w:rPr>
              <w:t xml:space="preserve"> 提成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赛事运营权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代理可组织本区域内的晋级赛、擂主挑战赛，并获取赛事报名费、赞助收入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L1擂主指定权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代理可指定旗下1家球房作为“区域擂主”（L1级），享受L1核心权益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品牌授权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可使用“杆杆响·区域运营中心”名义进行本地化宣传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3.3 代理考核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每季度考核区域球房活跃度、赛事频次等指标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连续两季度不达标，平台有权缩减代理范围或终止合作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四、球房等级体系（按城市类型区分半径）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4.1 通用等级定义（不分城市）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1485"/>
        <w:gridCol w:w="2475"/>
        <w:gridCol w:w="216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核心赛事权益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收入分成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天梯入口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日常挑战赛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社区中心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每周官方晋级赛（青铜→铂金）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区域核心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每月段位晋级赛（铂金→星耀）、区域联赛分区赛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区域联赛分成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区域擂主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王者以上段位晋级赛、城市总决赛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平台总利润分成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4.2 独家保护半径（分城市类型）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L3保护半径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L2保护半径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L1保护半径（独占）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一二线城市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500米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1公里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2公里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其他城市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1.5公里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3公里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8公里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注：代理区域内，半径可由代理与平台根据实际密度商定，以上为标准参考值。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五、各等级详细权益与晋级门槛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5.1 L4（基础级）</w:t>
      </w:r>
      <w:bookmarkEnd w:id="1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适用对象</w:t>
      </w:r>
      <w:r>
        <w:rPr>
          <w:rFonts w:eastAsia="等线" w:ascii="Arial" w:cs="Arial" w:hAnsi="Arial"/>
          <w:sz w:val="22"/>
        </w:rPr>
        <w:t>：初次合作、希望试水天梯赛的球房。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核心权益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天梯赛系统基础使用权（排名、积分、约战）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日常挑战赛功能（玩家可自由约战）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基础积分兑换支持（兑换店内商品/服务）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基础运营培训（系统操作、话术指导）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独家保护</w:t>
      </w:r>
      <w:r>
        <w:rPr>
          <w:rFonts w:eastAsia="等线" w:ascii="Arial" w:cs="Arial" w:hAnsi="Arial"/>
          <w:sz w:val="22"/>
        </w:rPr>
        <w:t>：无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晋级至L3门槛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连续3个月活跃玩家数 ≥ 50人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月均有效比赛场次 ≥ 4场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完成至少1次官方晋级赛组织（平台可协助）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5.2 L3（社区中心）</w:t>
      </w:r>
      <w:bookmarkEnd w:id="11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核心权益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包含L4所有权益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独家保护半径</w:t>
      </w:r>
      <w:r>
        <w:rPr>
          <w:rFonts w:eastAsia="等线" w:ascii="Arial" w:cs="Arial" w:hAnsi="Arial"/>
          <w:sz w:val="22"/>
        </w:rPr>
        <w:t>：按城市类型（见4.2）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每周可举办官方认证晋级赛（青铜→白银→黄金→铂金）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优先接入城市级营销活动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专属运营指导群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晋级至L2门槛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连续6个月活跃玩家数 ≥ 80人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月均有效比赛场次 ≥ 8场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晋级赛参与度高（每月至少4场晋级赛，场均参赛人数≥8人）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玩家社群活跃（微信群活跃度、战绩分享频次达标）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5.3 L2（区域核心）</w:t>
      </w:r>
      <w:bookmarkEnd w:id="1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核心权益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包含L3所有权益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独家保护半径</w:t>
      </w:r>
      <w:r>
        <w:rPr>
          <w:rFonts w:eastAsia="等线" w:ascii="Arial" w:cs="Arial" w:hAnsi="Arial"/>
          <w:sz w:val="22"/>
        </w:rPr>
        <w:t>：按城市类型（见4.2）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每月可举办段位晋级赛（铂金→钻石→星耀），获得官方赛事授权书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可承办区域联赛的分区赛，获得赛事冠名权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参与城市联赛收入分成</w:t>
      </w:r>
      <w:r>
        <w:rPr>
          <w:rFonts w:eastAsia="等线" w:ascii="Arial" w:cs="Arial" w:hAnsi="Arial"/>
          <w:sz w:val="22"/>
        </w:rPr>
        <w:t>（门票、赞助、直播等收入的5%-10%）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官方宣传优先曝光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晋级至L1门槛</w:t>
      </w:r>
      <w:r>
        <w:rPr>
          <w:rFonts w:eastAsia="等线" w:ascii="Arial" w:cs="Arial" w:hAnsi="Arial"/>
          <w:sz w:val="22"/>
        </w:rPr>
        <w:t>（年度综合评估）：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年度活跃玩家数 ≥ 150人（或稳定在100人以上超过10个月）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全年主办晋级赛 ≥ 30场，场均参赛人数 ≥ 12人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承办过至少1次区域联赛分区赛，无重大投诉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玩家口碑与区域影响力（由平台联合评审委员会评定）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5.4 L1（区域擂主）</w:t>
      </w:r>
      <w:bookmarkEnd w:id="1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核心权益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包含L2所有权益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独家保护半径</w:t>
      </w:r>
      <w:r>
        <w:rPr>
          <w:rFonts w:eastAsia="等线" w:ascii="Arial" w:cs="Arial" w:hAnsi="Arial"/>
          <w:sz w:val="22"/>
        </w:rPr>
        <w:t>：按城市类型（见4.2）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举办“王者”以上段位月度晋级赛及年度总决赛的垄断权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城市级赛事主办方身份（可联合平台共同发起城市联赛）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参与平台总利润分成</w:t>
      </w:r>
      <w:r>
        <w:rPr>
          <w:rFonts w:eastAsia="等线" w:ascii="Arial" w:cs="Arial" w:hAnsi="Arial"/>
          <w:sz w:val="22"/>
        </w:rPr>
        <w:t>（按年度贡献比例获得平台整体利润分红）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专属品牌联名支持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成为“杆杆响城市合伙人”，参与平台重大决策建议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六、动态升级机制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晋级流程</w:t>
      </w:r>
      <w:r>
        <w:rPr>
          <w:rFonts w:eastAsia="等线" w:ascii="Arial" w:cs="Arial" w:hAnsi="Arial"/>
          <w:sz w:val="22"/>
        </w:rPr>
        <w:t>：数据自检 → 提交申请 → 平台审核（7工作日）→ 签署补充协议 → 生效公示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降级机制</w:t>
      </w:r>
      <w:r>
        <w:rPr>
          <w:rFonts w:eastAsia="等线" w:ascii="Arial" w:cs="Arial" w:hAnsi="Arial"/>
          <w:sz w:val="22"/>
        </w:rPr>
        <w:t>：每半年复评，连续6个月核心指标低于门槛80%则降级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权益保护期</w:t>
      </w:r>
      <w:r>
        <w:rPr>
          <w:rFonts w:eastAsia="等线" w:ascii="Arial" w:cs="Arial" w:hAnsi="Arial"/>
          <w:sz w:val="22"/>
        </w:rPr>
        <w:t>：新签球房享受6个月初始排他保护（按签约等级对应半径）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七、区域擂主（L1）的IP打造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L1的物理半径有限，但IP价值无限：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4845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区域赛事中心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本区域内所有晋级赛决赛均在L1举办，全城高手汇聚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城市总决赛直通名额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L1产生的冠军直接晋级城市总决赛，获得全城曝光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擂主挑战赛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其他球房玩家可跨区域挑战L1擂主，直播或短视频传播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媒体专访+个人IP打造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每月发布“擂主风云榜”，L1老板和明星玩家成为本地台球圈名人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八、常见问题解答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Q：我在一线城市核心区，2公里内有上百家球房，L1的独占保护还有意义吗？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A：在密集区，L1的核心价值不在于物理圈地，而在于：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IP地位</w:t>
      </w:r>
      <w:r>
        <w:rPr>
          <w:rFonts w:eastAsia="等线" w:ascii="Arial" w:cs="Arial" w:hAnsi="Arial"/>
          <w:sz w:val="22"/>
        </w:rPr>
        <w:t>：您是官方认证的“区域擂主”，所有高级别赛事决赛都在您这儿办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赛事流量</w:t>
      </w:r>
      <w:r>
        <w:rPr>
          <w:rFonts w:eastAsia="等线" w:ascii="Arial" w:cs="Arial" w:hAnsi="Arial"/>
          <w:sz w:val="22"/>
        </w:rPr>
        <w:t>：玩家想打王者晋级赛、想挑战擂主，只能来您这儿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代理收益</w:t>
      </w:r>
      <w:r>
        <w:rPr>
          <w:rFonts w:eastAsia="等线" w:ascii="Arial" w:cs="Arial" w:hAnsi="Arial"/>
          <w:sz w:val="22"/>
        </w:rPr>
        <w:t>：若您是代理，还能享受区域内其他球房的分成，他们反而是您的“下线”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Q：500米保护会不会太小？隔壁小区开一家怎么办？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A：500米是步行5-7分钟的距离，足以覆盖主要竞对。若隔壁小区确有球房想接入，我们会优先推荐给您（作为代理的下线），或经您同意后按L4级别接入（不参与晋级赛），不影响您的核心利益。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Q：三线城市适合设代理吗？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A：三线城市若球房密度较低，可暂不设代理，采用标准半径（1.5km/3km/8km）独立运营。若某球房运营出色且有意愿拓展，可申请成为区域代理。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Q：代理区域内的球房还能升级到L1吗？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A：代理区域内通常只设一家L1（即代理指定的擂主球房），其他球房最高可升至L2。若某L2球房运营极其出色，可申请成为新区域的代理，或与原代理协商调整区域划分。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九、结语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杆杆响的球房等级体系与区域代理机制，充分考虑了全国市场的多样性，既有一二线城市的紧凑保护，也有下沉市场的广阔空间。我们期待与所有伙伴共同构建一个 </w:t>
      </w:r>
      <w:r>
        <w:rPr>
          <w:rFonts w:eastAsia="等线" w:ascii="Arial" w:cs="Arial" w:hAnsi="Arial"/>
          <w:b w:val="true"/>
          <w:sz w:val="22"/>
        </w:rPr>
        <w:t>“人人可为组织者，优秀者共享生态红利”</w:t>
      </w:r>
      <w:r>
        <w:rPr>
          <w:rFonts w:eastAsia="等线" w:ascii="Arial" w:cs="Arial" w:hAnsi="Arial"/>
          <w:sz w:val="22"/>
        </w:rPr>
        <w:t xml:space="preserve"> 的台球竞技新生态！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【附件】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附件1：《区域代理合作协议》模板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附件2：《代理区域划分与考核细则》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附件3：《L1擂主评选标准》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3857">
    <w:lvl>
      <w:start w:val="1"/>
      <w:numFmt w:val="decimal"/>
      <w:suff w:val="tab"/>
      <w:lvlText w:val="%1."/>
      <w:rPr>
        <w:color w:val="3370ff"/>
      </w:rPr>
    </w:lvl>
  </w:abstractNum>
  <w:abstractNum w:abstractNumId="573858">
    <w:lvl>
      <w:start w:val="2"/>
      <w:numFmt w:val="decimal"/>
      <w:suff w:val="tab"/>
      <w:lvlText w:val="%1."/>
      <w:rPr>
        <w:color w:val="3370ff"/>
      </w:rPr>
    </w:lvl>
  </w:abstractNum>
  <w:abstractNum w:abstractNumId="573859">
    <w:lvl>
      <w:start w:val="3"/>
      <w:numFmt w:val="decimal"/>
      <w:suff w:val="tab"/>
      <w:lvlText w:val="%1."/>
      <w:rPr>
        <w:color w:val="3370ff"/>
      </w:rPr>
    </w:lvl>
  </w:abstractNum>
  <w:abstractNum w:abstractNumId="573860">
    <w:lvl>
      <w:numFmt w:val="bullet"/>
      <w:suff w:val="tab"/>
      <w:lvlText w:val="•"/>
      <w:rPr>
        <w:color w:val="3370ff"/>
      </w:rPr>
    </w:lvl>
  </w:abstractNum>
  <w:abstractNum w:abstractNumId="573861">
    <w:lvl>
      <w:numFmt w:val="bullet"/>
      <w:suff w:val="tab"/>
      <w:lvlText w:val="•"/>
      <w:rPr>
        <w:color w:val="3370ff"/>
      </w:rPr>
    </w:lvl>
  </w:abstractNum>
  <w:abstractNum w:abstractNumId="573862">
    <w:lvl>
      <w:numFmt w:val="bullet"/>
      <w:suff w:val="tab"/>
      <w:lvlText w:val="•"/>
      <w:rPr>
        <w:color w:val="3370ff"/>
      </w:rPr>
    </w:lvl>
  </w:abstractNum>
  <w:abstractNum w:abstractNumId="573863">
    <w:lvl>
      <w:numFmt w:val="bullet"/>
      <w:suff w:val="tab"/>
      <w:lvlText w:val="•"/>
      <w:rPr>
        <w:color w:val="3370ff"/>
      </w:rPr>
    </w:lvl>
  </w:abstractNum>
  <w:abstractNum w:abstractNumId="573864">
    <w:lvl>
      <w:numFmt w:val="bullet"/>
      <w:suff w:val="tab"/>
      <w:lvlText w:val="•"/>
      <w:rPr>
        <w:color w:val="3370ff"/>
      </w:rPr>
    </w:lvl>
  </w:abstractNum>
  <w:abstractNum w:abstractNumId="573865">
    <w:lvl>
      <w:numFmt w:val="bullet"/>
      <w:suff w:val="tab"/>
      <w:lvlText w:val="•"/>
      <w:rPr>
        <w:color w:val="3370ff"/>
      </w:rPr>
    </w:lvl>
  </w:abstractNum>
  <w:abstractNum w:abstractNumId="573866">
    <w:lvl>
      <w:numFmt w:val="bullet"/>
      <w:suff w:val="tab"/>
      <w:lvlText w:val="￮"/>
      <w:rPr>
        <w:color w:val="3370ff"/>
      </w:rPr>
    </w:lvl>
  </w:abstractNum>
  <w:abstractNum w:abstractNumId="573867">
    <w:lvl>
      <w:numFmt w:val="bullet"/>
      <w:suff w:val="tab"/>
      <w:lvlText w:val="￮"/>
      <w:rPr>
        <w:color w:val="3370ff"/>
      </w:rPr>
    </w:lvl>
  </w:abstractNum>
  <w:abstractNum w:abstractNumId="573868">
    <w:lvl>
      <w:numFmt w:val="bullet"/>
      <w:suff w:val="tab"/>
      <w:lvlText w:val="￮"/>
      <w:rPr>
        <w:color w:val="3370ff"/>
      </w:rPr>
    </w:lvl>
  </w:abstractNum>
  <w:abstractNum w:abstractNumId="573869">
    <w:lvl>
      <w:numFmt w:val="bullet"/>
      <w:suff w:val="tab"/>
      <w:lvlText w:val="￮"/>
      <w:rPr>
        <w:color w:val="3370ff"/>
      </w:rPr>
    </w:lvl>
  </w:abstractNum>
  <w:abstractNum w:abstractNumId="573870">
    <w:lvl>
      <w:numFmt w:val="bullet"/>
      <w:suff w:val="tab"/>
      <w:lvlText w:val="•"/>
      <w:rPr>
        <w:color w:val="3370ff"/>
      </w:rPr>
    </w:lvl>
  </w:abstractNum>
  <w:abstractNum w:abstractNumId="573871">
    <w:lvl>
      <w:numFmt w:val="bullet"/>
      <w:suff w:val="tab"/>
      <w:lvlText w:val="•"/>
      <w:rPr>
        <w:color w:val="3370ff"/>
      </w:rPr>
    </w:lvl>
  </w:abstractNum>
  <w:abstractNum w:abstractNumId="573872">
    <w:lvl>
      <w:numFmt w:val="bullet"/>
      <w:suff w:val="tab"/>
      <w:lvlText w:val="￮"/>
      <w:rPr>
        <w:color w:val="3370ff"/>
      </w:rPr>
    </w:lvl>
  </w:abstractNum>
  <w:abstractNum w:abstractNumId="573873">
    <w:lvl>
      <w:numFmt w:val="bullet"/>
      <w:suff w:val="tab"/>
      <w:lvlText w:val="￮"/>
      <w:rPr>
        <w:color w:val="3370ff"/>
      </w:rPr>
    </w:lvl>
  </w:abstractNum>
  <w:abstractNum w:abstractNumId="573874">
    <w:lvl>
      <w:numFmt w:val="bullet"/>
      <w:suff w:val="tab"/>
      <w:lvlText w:val="￮"/>
      <w:rPr>
        <w:color w:val="3370ff"/>
      </w:rPr>
    </w:lvl>
  </w:abstractNum>
  <w:abstractNum w:abstractNumId="573875">
    <w:lvl>
      <w:numFmt w:val="bullet"/>
      <w:suff w:val="tab"/>
      <w:lvlText w:val="•"/>
      <w:rPr>
        <w:color w:val="3370ff"/>
      </w:rPr>
    </w:lvl>
  </w:abstractNum>
  <w:abstractNum w:abstractNumId="573876">
    <w:lvl>
      <w:numFmt w:val="bullet"/>
      <w:suff w:val="tab"/>
      <w:lvlText w:val="￮"/>
      <w:rPr>
        <w:color w:val="3370ff"/>
      </w:rPr>
    </w:lvl>
  </w:abstractNum>
  <w:abstractNum w:abstractNumId="573877">
    <w:lvl>
      <w:numFmt w:val="bullet"/>
      <w:suff w:val="tab"/>
      <w:lvlText w:val="￮"/>
      <w:rPr>
        <w:color w:val="3370ff"/>
      </w:rPr>
    </w:lvl>
  </w:abstractNum>
  <w:abstractNum w:abstractNumId="573878">
    <w:lvl>
      <w:numFmt w:val="bullet"/>
      <w:suff w:val="tab"/>
      <w:lvlText w:val="￮"/>
      <w:rPr>
        <w:color w:val="3370ff"/>
      </w:rPr>
    </w:lvl>
  </w:abstractNum>
  <w:abstractNum w:abstractNumId="573879">
    <w:lvl>
      <w:numFmt w:val="bullet"/>
      <w:suff w:val="tab"/>
      <w:lvlText w:val="￮"/>
      <w:rPr>
        <w:color w:val="3370ff"/>
      </w:rPr>
    </w:lvl>
  </w:abstractNum>
  <w:abstractNum w:abstractNumId="573880">
    <w:lvl>
      <w:numFmt w:val="bullet"/>
      <w:suff w:val="tab"/>
      <w:lvlText w:val="￮"/>
      <w:rPr>
        <w:color w:val="3370ff"/>
      </w:rPr>
    </w:lvl>
  </w:abstractNum>
  <w:abstractNum w:abstractNumId="573881">
    <w:lvl>
      <w:numFmt w:val="bullet"/>
      <w:suff w:val="tab"/>
      <w:lvlText w:val="•"/>
      <w:rPr>
        <w:color w:val="3370ff"/>
      </w:rPr>
    </w:lvl>
  </w:abstractNum>
  <w:abstractNum w:abstractNumId="573882">
    <w:lvl>
      <w:numFmt w:val="bullet"/>
      <w:suff w:val="tab"/>
      <w:lvlText w:val="￮"/>
      <w:rPr>
        <w:color w:val="3370ff"/>
      </w:rPr>
    </w:lvl>
  </w:abstractNum>
  <w:abstractNum w:abstractNumId="573883">
    <w:lvl>
      <w:numFmt w:val="bullet"/>
      <w:suff w:val="tab"/>
      <w:lvlText w:val="￮"/>
      <w:rPr>
        <w:color w:val="3370ff"/>
      </w:rPr>
    </w:lvl>
  </w:abstractNum>
  <w:abstractNum w:abstractNumId="573884">
    <w:lvl>
      <w:numFmt w:val="bullet"/>
      <w:suff w:val="tab"/>
      <w:lvlText w:val="￮"/>
      <w:rPr>
        <w:color w:val="3370ff"/>
      </w:rPr>
    </w:lvl>
  </w:abstractNum>
  <w:abstractNum w:abstractNumId="573885">
    <w:lvl>
      <w:numFmt w:val="bullet"/>
      <w:suff w:val="tab"/>
      <w:lvlText w:val="￮"/>
      <w:rPr>
        <w:color w:val="3370ff"/>
      </w:rPr>
    </w:lvl>
  </w:abstractNum>
  <w:abstractNum w:abstractNumId="573886">
    <w:lvl>
      <w:numFmt w:val="bullet"/>
      <w:suff w:val="tab"/>
      <w:lvlText w:val="•"/>
      <w:rPr>
        <w:color w:val="3370ff"/>
      </w:rPr>
    </w:lvl>
  </w:abstractNum>
  <w:abstractNum w:abstractNumId="573887">
    <w:lvl>
      <w:numFmt w:val="bullet"/>
      <w:suff w:val="tab"/>
      <w:lvlText w:val="￮"/>
      <w:rPr>
        <w:color w:val="3370ff"/>
      </w:rPr>
    </w:lvl>
  </w:abstractNum>
  <w:abstractNum w:abstractNumId="573888">
    <w:lvl>
      <w:numFmt w:val="bullet"/>
      <w:suff w:val="tab"/>
      <w:lvlText w:val="￮"/>
      <w:rPr>
        <w:color w:val="3370ff"/>
      </w:rPr>
    </w:lvl>
  </w:abstractNum>
  <w:abstractNum w:abstractNumId="573889">
    <w:lvl>
      <w:numFmt w:val="bullet"/>
      <w:suff w:val="tab"/>
      <w:lvlText w:val="￮"/>
      <w:rPr>
        <w:color w:val="3370ff"/>
      </w:rPr>
    </w:lvl>
  </w:abstractNum>
  <w:abstractNum w:abstractNumId="573890">
    <w:lvl>
      <w:numFmt w:val="bullet"/>
      <w:suff w:val="tab"/>
      <w:lvlText w:val="￮"/>
      <w:rPr>
        <w:color w:val="3370ff"/>
      </w:rPr>
    </w:lvl>
  </w:abstractNum>
  <w:abstractNum w:abstractNumId="573891">
    <w:lvl>
      <w:numFmt w:val="bullet"/>
      <w:suff w:val="tab"/>
      <w:lvlText w:val="￮"/>
      <w:rPr>
        <w:color w:val="3370ff"/>
      </w:rPr>
    </w:lvl>
  </w:abstractNum>
  <w:abstractNum w:abstractNumId="573892">
    <w:lvl>
      <w:numFmt w:val="bullet"/>
      <w:suff w:val="tab"/>
      <w:lvlText w:val="￮"/>
      <w:rPr>
        <w:color w:val="3370ff"/>
      </w:rPr>
    </w:lvl>
  </w:abstractNum>
  <w:abstractNum w:abstractNumId="573893">
    <w:lvl>
      <w:numFmt w:val="bullet"/>
      <w:suff w:val="tab"/>
      <w:lvlText w:val="•"/>
      <w:rPr>
        <w:color w:val="3370ff"/>
      </w:rPr>
    </w:lvl>
  </w:abstractNum>
  <w:abstractNum w:abstractNumId="573894">
    <w:lvl>
      <w:numFmt w:val="bullet"/>
      <w:suff w:val="tab"/>
      <w:lvlText w:val="￮"/>
      <w:rPr>
        <w:color w:val="3370ff"/>
      </w:rPr>
    </w:lvl>
  </w:abstractNum>
  <w:abstractNum w:abstractNumId="573895">
    <w:lvl>
      <w:numFmt w:val="bullet"/>
      <w:suff w:val="tab"/>
      <w:lvlText w:val="￮"/>
      <w:rPr>
        <w:color w:val="3370ff"/>
      </w:rPr>
    </w:lvl>
  </w:abstractNum>
  <w:abstractNum w:abstractNumId="573896">
    <w:lvl>
      <w:numFmt w:val="bullet"/>
      <w:suff w:val="tab"/>
      <w:lvlText w:val="￮"/>
      <w:rPr>
        <w:color w:val="3370ff"/>
      </w:rPr>
    </w:lvl>
  </w:abstractNum>
  <w:abstractNum w:abstractNumId="573897">
    <w:lvl>
      <w:numFmt w:val="bullet"/>
      <w:suff w:val="tab"/>
      <w:lvlText w:val="￮"/>
      <w:rPr>
        <w:color w:val="3370ff"/>
      </w:rPr>
    </w:lvl>
  </w:abstractNum>
  <w:abstractNum w:abstractNumId="573898">
    <w:lvl>
      <w:numFmt w:val="bullet"/>
      <w:suff w:val="tab"/>
      <w:lvlText w:val="•"/>
      <w:rPr>
        <w:color w:val="3370ff"/>
      </w:rPr>
    </w:lvl>
  </w:abstractNum>
  <w:abstractNum w:abstractNumId="573899">
    <w:lvl>
      <w:numFmt w:val="bullet"/>
      <w:suff w:val="tab"/>
      <w:lvlText w:val="￮"/>
      <w:rPr>
        <w:color w:val="3370ff"/>
      </w:rPr>
    </w:lvl>
  </w:abstractNum>
  <w:abstractNum w:abstractNumId="573900">
    <w:lvl>
      <w:numFmt w:val="bullet"/>
      <w:suff w:val="tab"/>
      <w:lvlText w:val="￮"/>
      <w:rPr>
        <w:color w:val="3370ff"/>
      </w:rPr>
    </w:lvl>
  </w:abstractNum>
  <w:abstractNum w:abstractNumId="573901">
    <w:lvl>
      <w:numFmt w:val="bullet"/>
      <w:suff w:val="tab"/>
      <w:lvlText w:val="￮"/>
      <w:rPr>
        <w:color w:val="3370ff"/>
      </w:rPr>
    </w:lvl>
  </w:abstractNum>
  <w:abstractNum w:abstractNumId="573902">
    <w:lvl>
      <w:numFmt w:val="bullet"/>
      <w:suff w:val="tab"/>
      <w:lvlText w:val="￮"/>
      <w:rPr>
        <w:color w:val="3370ff"/>
      </w:rPr>
    </w:lvl>
  </w:abstractNum>
  <w:abstractNum w:abstractNumId="573903">
    <w:lvl>
      <w:numFmt w:val="bullet"/>
      <w:suff w:val="tab"/>
      <w:lvlText w:val="￮"/>
      <w:rPr>
        <w:color w:val="3370ff"/>
      </w:rPr>
    </w:lvl>
  </w:abstractNum>
  <w:abstractNum w:abstractNumId="573904">
    <w:lvl>
      <w:numFmt w:val="bullet"/>
      <w:suff w:val="tab"/>
      <w:lvlText w:val="￮"/>
      <w:rPr>
        <w:color w:val="3370ff"/>
      </w:rPr>
    </w:lvl>
  </w:abstractNum>
  <w:abstractNum w:abstractNumId="573905">
    <w:lvl>
      <w:numFmt w:val="bullet"/>
      <w:suff w:val="tab"/>
      <w:lvlText w:val="￮"/>
      <w:rPr>
        <w:color w:val="3370ff"/>
      </w:rPr>
    </w:lvl>
  </w:abstractNum>
  <w:abstractNum w:abstractNumId="573906">
    <w:lvl>
      <w:numFmt w:val="bullet"/>
      <w:suff w:val="tab"/>
      <w:lvlText w:val="•"/>
      <w:rPr>
        <w:color w:val="3370ff"/>
      </w:rPr>
    </w:lvl>
  </w:abstractNum>
  <w:abstractNum w:abstractNumId="573907">
    <w:lvl>
      <w:numFmt w:val="bullet"/>
      <w:suff w:val="tab"/>
      <w:lvlText w:val="•"/>
      <w:rPr>
        <w:color w:val="3370ff"/>
      </w:rPr>
    </w:lvl>
  </w:abstractNum>
  <w:abstractNum w:abstractNumId="573908">
    <w:lvl>
      <w:numFmt w:val="bullet"/>
      <w:suff w:val="tab"/>
      <w:lvlText w:val="•"/>
      <w:rPr>
        <w:color w:val="3370ff"/>
      </w:rPr>
    </w:lvl>
  </w:abstractNum>
  <w:abstractNum w:abstractNumId="573909">
    <w:lvl>
      <w:start w:val="1"/>
      <w:numFmt w:val="decimal"/>
      <w:suff w:val="tab"/>
      <w:lvlText w:val="%1."/>
      <w:rPr>
        <w:color w:val="3370ff"/>
      </w:rPr>
    </w:lvl>
  </w:abstractNum>
  <w:abstractNum w:abstractNumId="573910">
    <w:lvl>
      <w:start w:val="2"/>
      <w:numFmt w:val="decimal"/>
      <w:suff w:val="tab"/>
      <w:lvlText w:val="%1."/>
      <w:rPr>
        <w:color w:val="3370ff"/>
      </w:rPr>
    </w:lvl>
  </w:abstractNum>
  <w:abstractNum w:abstractNumId="573911">
    <w:lvl>
      <w:start w:val="3"/>
      <w:numFmt w:val="decimal"/>
      <w:suff w:val="tab"/>
      <w:lvlText w:val="%1."/>
      <w:rPr>
        <w:color w:val="3370ff"/>
      </w:rPr>
    </w:lvl>
  </w:abstractNum>
  <w:abstractNum w:abstractNumId="573912">
    <w:lvl>
      <w:numFmt w:val="bullet"/>
      <w:suff w:val="tab"/>
      <w:lvlText w:val="•"/>
      <w:rPr>
        <w:color w:val="3370ff"/>
      </w:rPr>
    </w:lvl>
  </w:abstractNum>
  <w:abstractNum w:abstractNumId="573913">
    <w:lvl>
      <w:numFmt w:val="bullet"/>
      <w:suff w:val="tab"/>
      <w:lvlText w:val="•"/>
      <w:rPr>
        <w:color w:val="3370ff"/>
      </w:rPr>
    </w:lvl>
  </w:abstractNum>
  <w:abstractNum w:abstractNumId="573914">
    <w:lvl>
      <w:numFmt w:val="bullet"/>
      <w:suff w:val="tab"/>
      <w:lvlText w:val="•"/>
      <w:rPr>
        <w:color w:val="3370ff"/>
      </w:rPr>
    </w:lvl>
  </w:abstractNum>
  <w:num w:numId="1">
    <w:abstractNumId w:val="573857"/>
  </w:num>
  <w:num w:numId="2">
    <w:abstractNumId w:val="573858"/>
  </w:num>
  <w:num w:numId="3">
    <w:abstractNumId w:val="573859"/>
  </w:num>
  <w:num w:numId="4">
    <w:abstractNumId w:val="573860"/>
  </w:num>
  <w:num w:numId="5">
    <w:abstractNumId w:val="573861"/>
  </w:num>
  <w:num w:numId="6">
    <w:abstractNumId w:val="573862"/>
  </w:num>
  <w:num w:numId="7">
    <w:abstractNumId w:val="573863"/>
  </w:num>
  <w:num w:numId="8">
    <w:abstractNumId w:val="573864"/>
  </w:num>
  <w:num w:numId="9">
    <w:abstractNumId w:val="573865"/>
  </w:num>
  <w:num w:numId="10">
    <w:abstractNumId w:val="573866"/>
  </w:num>
  <w:num w:numId="11">
    <w:abstractNumId w:val="573867"/>
  </w:num>
  <w:num w:numId="12">
    <w:abstractNumId w:val="573868"/>
  </w:num>
  <w:num w:numId="13">
    <w:abstractNumId w:val="573869"/>
  </w:num>
  <w:num w:numId="14">
    <w:abstractNumId w:val="573870"/>
  </w:num>
  <w:num w:numId="15">
    <w:abstractNumId w:val="573871"/>
  </w:num>
  <w:num w:numId="16">
    <w:abstractNumId w:val="573872"/>
  </w:num>
  <w:num w:numId="17">
    <w:abstractNumId w:val="573873"/>
  </w:num>
  <w:num w:numId="18">
    <w:abstractNumId w:val="573874"/>
  </w:num>
  <w:num w:numId="19">
    <w:abstractNumId w:val="573875"/>
  </w:num>
  <w:num w:numId="20">
    <w:abstractNumId w:val="573876"/>
  </w:num>
  <w:num w:numId="21">
    <w:abstractNumId w:val="573877"/>
  </w:num>
  <w:num w:numId="22">
    <w:abstractNumId w:val="573878"/>
  </w:num>
  <w:num w:numId="23">
    <w:abstractNumId w:val="573879"/>
  </w:num>
  <w:num w:numId="24">
    <w:abstractNumId w:val="573880"/>
  </w:num>
  <w:num w:numId="25">
    <w:abstractNumId w:val="573881"/>
  </w:num>
  <w:num w:numId="26">
    <w:abstractNumId w:val="573882"/>
  </w:num>
  <w:num w:numId="27">
    <w:abstractNumId w:val="573883"/>
  </w:num>
  <w:num w:numId="28">
    <w:abstractNumId w:val="573884"/>
  </w:num>
  <w:num w:numId="29">
    <w:abstractNumId w:val="573885"/>
  </w:num>
  <w:num w:numId="30">
    <w:abstractNumId w:val="573886"/>
  </w:num>
  <w:num w:numId="31">
    <w:abstractNumId w:val="573887"/>
  </w:num>
  <w:num w:numId="32">
    <w:abstractNumId w:val="573888"/>
  </w:num>
  <w:num w:numId="33">
    <w:abstractNumId w:val="573889"/>
  </w:num>
  <w:num w:numId="34">
    <w:abstractNumId w:val="573890"/>
  </w:num>
  <w:num w:numId="35">
    <w:abstractNumId w:val="573891"/>
  </w:num>
  <w:num w:numId="36">
    <w:abstractNumId w:val="573892"/>
  </w:num>
  <w:num w:numId="37">
    <w:abstractNumId w:val="573893"/>
  </w:num>
  <w:num w:numId="38">
    <w:abstractNumId w:val="573894"/>
  </w:num>
  <w:num w:numId="39">
    <w:abstractNumId w:val="573895"/>
  </w:num>
  <w:num w:numId="40">
    <w:abstractNumId w:val="573896"/>
  </w:num>
  <w:num w:numId="41">
    <w:abstractNumId w:val="573897"/>
  </w:num>
  <w:num w:numId="42">
    <w:abstractNumId w:val="573898"/>
  </w:num>
  <w:num w:numId="43">
    <w:abstractNumId w:val="573899"/>
  </w:num>
  <w:num w:numId="44">
    <w:abstractNumId w:val="573900"/>
  </w:num>
  <w:num w:numId="45">
    <w:abstractNumId w:val="573901"/>
  </w:num>
  <w:num w:numId="46">
    <w:abstractNumId w:val="573902"/>
  </w:num>
  <w:num w:numId="47">
    <w:abstractNumId w:val="573903"/>
  </w:num>
  <w:num w:numId="48">
    <w:abstractNumId w:val="573904"/>
  </w:num>
  <w:num w:numId="49">
    <w:abstractNumId w:val="573905"/>
  </w:num>
  <w:num w:numId="50">
    <w:abstractNumId w:val="573906"/>
  </w:num>
  <w:num w:numId="51">
    <w:abstractNumId w:val="573907"/>
  </w:num>
  <w:num w:numId="52">
    <w:abstractNumId w:val="573908"/>
  </w:num>
  <w:num w:numId="53">
    <w:abstractNumId w:val="573909"/>
  </w:num>
  <w:num w:numId="54">
    <w:abstractNumId w:val="573910"/>
  </w:num>
  <w:num w:numId="55">
    <w:abstractNumId w:val="573911"/>
  </w:num>
  <w:num w:numId="56">
    <w:abstractNumId w:val="573912"/>
  </w:num>
  <w:num w:numId="57">
    <w:abstractNumId w:val="573913"/>
  </w:num>
  <w:num w:numId="58">
    <w:abstractNumId w:val="5739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2026-03-14T12:59:47Z</dcterms:created>
  <dc:creator>Apache POI</dc:creator>
</cp:coreProperties>
</file>