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《杆杆响·积分经济模型白皮书》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文档版本：V2.0</w:t>
      </w:r>
      <w:r>
        <w:rPr>
          <w:rFonts w:eastAsia="等线" w:ascii="Arial" w:cs="Arial" w:hAnsi="Arial"/>
          <w:b w:val="true"/>
          <w:sz w:val="32"/>
        </w:rPr>
        <w:t xml:space="preserve"> 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发布日期：2025年【】月【】日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归属模块：产品与战略层 · P-03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一、引言：积分不是成本，是“游戏化储值卡”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在传统的商业认知中，积分常被视为一种营销成本。但在杆杆响天梯赛的生态里，积分被重新定义——它是一张**“游戏化储值卡”**，是连接用户行为、球房收益与平台生态的核心纽带。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对用户</w:t>
      </w:r>
      <w:r>
        <w:rPr>
          <w:rFonts w:eastAsia="等线" w:ascii="Arial" w:cs="Arial" w:hAnsi="Arial"/>
          <w:sz w:val="22"/>
        </w:rPr>
        <w:t>：积分是竞技付出的回报，是可兑换、可提现、可炫耀的资产。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对球房</w:t>
      </w:r>
      <w:r>
        <w:rPr>
          <w:rFonts w:eastAsia="等线" w:ascii="Arial" w:cs="Arial" w:hAnsi="Arial"/>
          <w:sz w:val="22"/>
        </w:rPr>
        <w:t>：积分是引导用户行为（延长停留、提升频次、消耗高毛利商品）的精准杠杆。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对平台</w:t>
      </w:r>
      <w:r>
        <w:rPr>
          <w:rFonts w:eastAsia="等线" w:ascii="Arial" w:cs="Arial" w:hAnsi="Arial"/>
          <w:sz w:val="22"/>
        </w:rPr>
        <w:t>：积分是构建跨店流通、数据沉淀、产业连接的信用基础。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本白皮书系统阐述杆杆响积分经济模型的设计逻辑、运行规则与商业价值。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二、积分获取规则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积分获取遵循三大核心原则：</w:t>
      </w:r>
      <w:r>
        <w:rPr>
          <w:rFonts w:eastAsia="等线" w:ascii="Arial" w:cs="Arial" w:hAnsi="Arial"/>
          <w:b w:val="true"/>
          <w:sz w:val="22"/>
        </w:rPr>
        <w:t>时间长、要赢、比赛激烈</w:t>
      </w:r>
      <w:r>
        <w:rPr>
          <w:rFonts w:eastAsia="等线" w:ascii="Arial" w:cs="Arial" w:hAnsi="Arial"/>
          <w:sz w:val="22"/>
        </w:rPr>
        <w:t>。所有规则均围绕这三点展开，确保用户行为与球房利益高度一致。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2.1 单场比赛积分计算公式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胜方获得积分 = 基础局数分 + 额外奖励分 × 球房积分产出比例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每一小局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按比赛总局数计算，仅胜方获得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炸清/接清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奖励一杆清台的精彩技艺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+10分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奖励进入决胜局的焦灼对局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：一场5:4的比赛（共9局），胜方有一次炸清且进入双赛点，则基础总分 = 9×5 + 5 + 10 = 60分。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2.2 球房积分产出比例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球房可根据自身台费标准和运营策略，设置积分产出比例（建议范围</w:t>
      </w:r>
      <w:r>
        <w:rPr>
          <w:rFonts w:eastAsia="等线" w:ascii="Arial" w:cs="Arial" w:hAnsi="Arial"/>
          <w:b w:val="true"/>
          <w:sz w:val="22"/>
        </w:rPr>
        <w:t>0.6倍 - 1.2倍</w:t>
      </w:r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台费较高/控制成本</w:t>
      </w:r>
      <w:r>
        <w:rPr>
          <w:rFonts w:eastAsia="等线" w:ascii="Arial" w:cs="Arial" w:hAnsi="Arial"/>
          <w:sz w:val="22"/>
        </w:rPr>
        <w:t>：设0.6倍，60分×0.6=36分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推广期/激励参与</w:t>
      </w:r>
      <w:r>
        <w:rPr>
          <w:rFonts w:eastAsia="等线" w:ascii="Arial" w:cs="Arial" w:hAnsi="Arial"/>
          <w:sz w:val="22"/>
        </w:rPr>
        <w:t>：设1.2倍，60分×1.2=72分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2.3 其他获取方式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分享战绩海报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30分/次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鼓励传播，免费曝光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邀请好友参赛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50分/人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低成本拉新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举报违规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50分/次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维护公平竞技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2.4 系统自动发放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比赛对局产生的积分由天梯系统</w:t>
      </w:r>
      <w:r>
        <w:rPr>
          <w:rFonts w:eastAsia="等线" w:ascii="Arial" w:cs="Arial" w:hAnsi="Arial"/>
          <w:b w:val="true"/>
          <w:sz w:val="22"/>
        </w:rPr>
        <w:t>自动计算并发放</w:t>
      </w:r>
      <w:r>
        <w:rPr>
          <w:rFonts w:eastAsia="等线" w:ascii="Arial" w:cs="Arial" w:hAnsi="Arial"/>
          <w:sz w:val="22"/>
        </w:rPr>
        <w:t>至胜方账户，无需人工干预，确保高效准确。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三、积分消耗与退出通道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必须引导积分消耗在**“高毛利、增营收、锁未来”**的场景，避免替代正常现金销售。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3.1 核心消耗场景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具体形式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设计价值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A. 兑换专属特权/服务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闲时段台时券&lt;br&gt;• 教练体验课&lt;br&gt;• 器材保养服务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盘活闲置资源，不挤占高峰现金收入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B. 兑换高毛利附加品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特调饮品（成本低）&lt;br&gt;• 品牌周边（巧粉、手套）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提升毛利，强化品牌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C. 游戏化抽奖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积分抽奖池（大奖为球杆、手机等）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沉淀积分，创造惊喜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D. 虚拟荣耀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虚拟勋章、主页装扮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零成本消耗，满足荣誉感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E. 少量提现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设置门槛（如累计胜场≥10场）&lt;br&gt;• 每月限提1次，最低100分起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制造终极吸引力，控制现金流出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3.2 禁止/限制场景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尽量避免积分兑换矿泉水、普通可乐等</w:t>
      </w:r>
      <w:r>
        <w:rPr>
          <w:rFonts w:eastAsia="等线" w:ascii="Arial" w:cs="Arial" w:hAnsi="Arial"/>
          <w:b w:val="true"/>
          <w:sz w:val="22"/>
        </w:rPr>
        <w:t>低毛利、易替代现金销售</w:t>
      </w:r>
      <w:r>
        <w:rPr>
          <w:rFonts w:eastAsia="等线" w:ascii="Arial" w:cs="Arial" w:hAnsi="Arial"/>
          <w:sz w:val="22"/>
        </w:rPr>
        <w:t>的商品。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球房可根据实际情况设置“不可兑换商品清单”。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四、球房财务模型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 单球房投入产出测算（以50名新用户为例）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新用户完成10场比赛即可赠送1000积分。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球房投入（积分采购）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按每用户100元价值采购5000分（1元=10分）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用户为赚积分产生的台费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约150,000元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按人均贡献台费3000元估算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积分消耗去向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兑换高毛利商品（成本30%）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占80% → 4000分×30% = 1200元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用户兑换价值4000元商品，球房实际成本1200元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实际提现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占20% → 1000分 = 1000元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少数玩家提现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球房总实际支出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商品成本 + 提现金额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球房净收益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约147,800元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台费收入150,000 - 支出2,200 = 147,800元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投资回报率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超67倍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每1元积分成本，带来超67元净收入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注：实际数据因球房运营水平而异，此模型为保守估算。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4.2 积分成本控制原则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积分产出比例可调</w:t>
      </w:r>
      <w:r>
        <w:rPr>
          <w:rFonts w:eastAsia="等线" w:ascii="Arial" w:cs="Arial" w:hAnsi="Arial"/>
          <w:sz w:val="22"/>
        </w:rPr>
        <w:t>：球房可根据淡旺季、台费价格灵活调整。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提现限制</w:t>
      </w:r>
      <w:r>
        <w:rPr>
          <w:rFonts w:eastAsia="等线" w:ascii="Arial" w:cs="Arial" w:hAnsi="Arial"/>
          <w:sz w:val="22"/>
        </w:rPr>
        <w:t>：设置提现门槛（如累计胜场≥10场、每月限提1次），引导积分在店内循环。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积分有效期</w:t>
      </w:r>
      <w:r>
        <w:rPr>
          <w:rFonts w:eastAsia="等线" w:ascii="Arial" w:cs="Arial" w:hAnsi="Arial"/>
          <w:sz w:val="22"/>
        </w:rPr>
        <w:t>：可设置积分有效期（如12个月），到期未使用则自动清零，刺激消耗。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五、公平竞技与风控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5.1 系统监测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自动标记异常对局</w:t>
      </w:r>
      <w:r>
        <w:rPr>
          <w:rFonts w:eastAsia="等线" w:ascii="Arial" w:cs="Arial" w:hAnsi="Arial"/>
          <w:sz w:val="22"/>
        </w:rPr>
        <w:t>：如同一对手1小时内对战3次、固定比分模式。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人工复核</w:t>
      </w:r>
      <w:r>
        <w:rPr>
          <w:rFonts w:eastAsia="等线" w:ascii="Arial" w:cs="Arial" w:hAnsi="Arial"/>
          <w:sz w:val="22"/>
        </w:rPr>
        <w:t>：对可疑对局，球房有权取消违规积分。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5.2 诚信分体系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每位玩家初始</w:t>
      </w:r>
      <w:r>
        <w:rPr>
          <w:rFonts w:eastAsia="等线" w:ascii="Arial" w:cs="Arial" w:hAnsi="Arial"/>
          <w:b w:val="true"/>
          <w:sz w:val="22"/>
        </w:rPr>
        <w:t>100分</w:t>
      </w:r>
      <w:r>
        <w:rPr>
          <w:rFonts w:eastAsia="等线" w:ascii="Arial" w:cs="Arial" w:hAnsi="Arial"/>
          <w:sz w:val="22"/>
        </w:rPr>
        <w:t>诚信分。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被确认刷分、消极比赛等违规行为，视情节扣5-50分。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诚信分低于60分时，无法参与排行榜竞争及积分提现。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5.3 举报通道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玩家可通过小程序或社群举报可疑行为，核实后举报人可获得50积分奖励。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六、多球房流通与未来展望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6.1 跨店流通（第二阶段）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当城市内有多个合作球房后，积分可升级为</w:t>
      </w:r>
      <w:r>
        <w:rPr>
          <w:rFonts w:eastAsia="等线" w:ascii="Arial" w:cs="Arial" w:hAnsi="Arial"/>
          <w:b w:val="true"/>
          <w:sz w:val="22"/>
        </w:rPr>
        <w:t>区域通用券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用户在A球房获得的积分，可在B球房兑换商品/服务。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提现仍需回原获得球房，防止套利。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球房间通过平台进行积分结算。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6.2 生态扩展（第三阶段）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当积分池足够大、流通足够稳定时：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平台信用</w:t>
      </w:r>
      <w:r>
        <w:rPr>
          <w:rFonts w:eastAsia="等线" w:ascii="Arial" w:cs="Arial" w:hAnsi="Arial"/>
          <w:sz w:val="22"/>
        </w:rPr>
        <w:t>：向优质球房提供“积分信用额度”，先发放后结算。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数据服务</w:t>
      </w:r>
      <w:r>
        <w:rPr>
          <w:rFonts w:eastAsia="等线" w:ascii="Arial" w:cs="Arial" w:hAnsi="Arial"/>
          <w:sz w:val="22"/>
        </w:rPr>
        <w:t>：向器材商提供基于积分消耗的用户偏好数据报告。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金融化</w:t>
      </w:r>
      <w:r>
        <w:rPr>
          <w:rFonts w:eastAsia="等线" w:ascii="Arial" w:cs="Arial" w:hAnsi="Arial"/>
          <w:sz w:val="22"/>
        </w:rPr>
        <w:t>：积分可用于购买线上课程、全国赛事报名费，成为台球垂直领域的“通用货币”。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七、结语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杆杆响积分经济模型，本质上是一套**“用户行为×商业价值×生态信用”**的精密系统。它将用户的竞技热情转化为可度量的积分资产，将球房的闲置资源转化为高利润的消耗场景，最终构建一个多方共赢、自我强化的数字台球生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我们诚邀所有合作伙伴共同参与这场积分经济的实践，让每一分努力都有回响，让每一次击球都创造价值。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杆杆响，让台球更响！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0606">
    <w:lvl>
      <w:numFmt w:val="bullet"/>
      <w:suff w:val="tab"/>
      <w:lvlText w:val="•"/>
      <w:rPr>
        <w:color w:val="3370ff"/>
      </w:rPr>
    </w:lvl>
  </w:abstractNum>
  <w:abstractNum w:abstractNumId="670607">
    <w:lvl>
      <w:numFmt w:val="bullet"/>
      <w:suff w:val="tab"/>
      <w:lvlText w:val="•"/>
      <w:rPr>
        <w:color w:val="3370ff"/>
      </w:rPr>
    </w:lvl>
  </w:abstractNum>
  <w:abstractNum w:abstractNumId="670608">
    <w:lvl>
      <w:numFmt w:val="bullet"/>
      <w:suff w:val="tab"/>
      <w:lvlText w:val="•"/>
      <w:rPr>
        <w:color w:val="3370ff"/>
      </w:rPr>
    </w:lvl>
  </w:abstractNum>
  <w:abstractNum w:abstractNumId="670609">
    <w:lvl>
      <w:numFmt w:val="bullet"/>
      <w:suff w:val="tab"/>
      <w:lvlText w:val="•"/>
      <w:rPr>
        <w:color w:val="3370ff"/>
      </w:rPr>
    </w:lvl>
  </w:abstractNum>
  <w:abstractNum w:abstractNumId="670610">
    <w:lvl>
      <w:numFmt w:val="bullet"/>
      <w:suff w:val="tab"/>
      <w:lvlText w:val="•"/>
      <w:rPr>
        <w:color w:val="3370ff"/>
      </w:rPr>
    </w:lvl>
  </w:abstractNum>
  <w:abstractNum w:abstractNumId="670611">
    <w:lvl>
      <w:numFmt w:val="bullet"/>
      <w:suff w:val="tab"/>
      <w:lvlText w:val="•"/>
      <w:rPr>
        <w:color w:val="3370ff"/>
      </w:rPr>
    </w:lvl>
  </w:abstractNum>
  <w:abstractNum w:abstractNumId="670612">
    <w:lvl>
      <w:numFmt w:val="bullet"/>
      <w:suff w:val="tab"/>
      <w:lvlText w:val="•"/>
      <w:rPr>
        <w:color w:val="3370ff"/>
      </w:rPr>
    </w:lvl>
  </w:abstractNum>
  <w:abstractNum w:abstractNumId="670613">
    <w:lvl>
      <w:numFmt w:val="bullet"/>
      <w:suff w:val="tab"/>
      <w:lvlText w:val="•"/>
      <w:rPr>
        <w:color w:val="3370ff"/>
      </w:rPr>
    </w:lvl>
  </w:abstractNum>
  <w:abstractNum w:abstractNumId="670614">
    <w:lvl>
      <w:numFmt w:val="bullet"/>
      <w:suff w:val="tab"/>
      <w:lvlText w:val="•"/>
      <w:rPr>
        <w:color w:val="3370ff"/>
      </w:rPr>
    </w:lvl>
  </w:abstractNum>
  <w:abstractNum w:abstractNumId="670615">
    <w:lvl>
      <w:numFmt w:val="bullet"/>
      <w:suff w:val="tab"/>
      <w:lvlText w:val="•"/>
      <w:rPr>
        <w:color w:val="3370ff"/>
      </w:rPr>
    </w:lvl>
  </w:abstractNum>
  <w:abstractNum w:abstractNumId="670616">
    <w:lvl>
      <w:numFmt w:val="bullet"/>
      <w:suff w:val="tab"/>
      <w:lvlText w:val="•"/>
      <w:rPr>
        <w:color w:val="3370ff"/>
      </w:rPr>
    </w:lvl>
  </w:abstractNum>
  <w:abstractNum w:abstractNumId="670617">
    <w:lvl>
      <w:numFmt w:val="bullet"/>
      <w:suff w:val="tab"/>
      <w:lvlText w:val="•"/>
      <w:rPr>
        <w:color w:val="3370ff"/>
      </w:rPr>
    </w:lvl>
  </w:abstractNum>
  <w:abstractNum w:abstractNumId="670618">
    <w:lvl>
      <w:numFmt w:val="bullet"/>
      <w:suff w:val="tab"/>
      <w:lvlText w:val="•"/>
      <w:rPr>
        <w:color w:val="3370ff"/>
      </w:rPr>
    </w:lvl>
  </w:abstractNum>
  <w:abstractNum w:abstractNumId="670619">
    <w:lvl>
      <w:numFmt w:val="bullet"/>
      <w:suff w:val="tab"/>
      <w:lvlText w:val="•"/>
      <w:rPr>
        <w:color w:val="3370ff"/>
      </w:rPr>
    </w:lvl>
  </w:abstractNum>
  <w:abstractNum w:abstractNumId="670620">
    <w:lvl>
      <w:numFmt w:val="bullet"/>
      <w:suff w:val="tab"/>
      <w:lvlText w:val="•"/>
      <w:rPr>
        <w:color w:val="3370ff"/>
      </w:rPr>
    </w:lvl>
  </w:abstractNum>
  <w:abstractNum w:abstractNumId="670621">
    <w:lvl>
      <w:numFmt w:val="bullet"/>
      <w:suff w:val="tab"/>
      <w:lvlText w:val="•"/>
      <w:rPr>
        <w:color w:val="3370ff"/>
      </w:rPr>
    </w:lvl>
  </w:abstractNum>
  <w:abstractNum w:abstractNumId="670622">
    <w:lvl>
      <w:numFmt w:val="bullet"/>
      <w:suff w:val="tab"/>
      <w:lvlText w:val="•"/>
      <w:rPr>
        <w:color w:val="3370ff"/>
      </w:rPr>
    </w:lvl>
  </w:abstractNum>
  <w:abstractNum w:abstractNumId="670623">
    <w:lvl>
      <w:numFmt w:val="bullet"/>
      <w:suff w:val="tab"/>
      <w:lvlText w:val="•"/>
      <w:rPr>
        <w:color w:val="3370ff"/>
      </w:rPr>
    </w:lvl>
  </w:abstractNum>
  <w:abstractNum w:abstractNumId="670624">
    <w:lvl>
      <w:numFmt w:val="bullet"/>
      <w:suff w:val="tab"/>
      <w:lvlText w:val="•"/>
      <w:rPr>
        <w:color w:val="3370ff"/>
      </w:rPr>
    </w:lvl>
  </w:abstractNum>
  <w:abstractNum w:abstractNumId="670625">
    <w:lvl>
      <w:numFmt w:val="bullet"/>
      <w:suff w:val="tab"/>
      <w:lvlText w:val="•"/>
      <w:rPr>
        <w:color w:val="3370ff"/>
      </w:rPr>
    </w:lvl>
  </w:abstractNum>
  <w:abstractNum w:abstractNumId="670626">
    <w:lvl>
      <w:numFmt w:val="bullet"/>
      <w:suff w:val="tab"/>
      <w:lvlText w:val="•"/>
      <w:rPr>
        <w:color w:val="3370ff"/>
      </w:rPr>
    </w:lvl>
  </w:abstractNum>
  <w:num w:numId="1">
    <w:abstractNumId w:val="670606"/>
  </w:num>
  <w:num w:numId="2">
    <w:abstractNumId w:val="670607"/>
  </w:num>
  <w:num w:numId="3">
    <w:abstractNumId w:val="670608"/>
  </w:num>
  <w:num w:numId="4">
    <w:abstractNumId w:val="670609"/>
  </w:num>
  <w:num w:numId="5">
    <w:abstractNumId w:val="670610"/>
  </w:num>
  <w:num w:numId="6">
    <w:abstractNumId w:val="670611"/>
  </w:num>
  <w:num w:numId="7">
    <w:abstractNumId w:val="670612"/>
  </w:num>
  <w:num w:numId="8">
    <w:abstractNumId w:val="670613"/>
  </w:num>
  <w:num w:numId="9">
    <w:abstractNumId w:val="670614"/>
  </w:num>
  <w:num w:numId="10">
    <w:abstractNumId w:val="670615"/>
  </w:num>
  <w:num w:numId="11">
    <w:abstractNumId w:val="670616"/>
  </w:num>
  <w:num w:numId="12">
    <w:abstractNumId w:val="670617"/>
  </w:num>
  <w:num w:numId="13">
    <w:abstractNumId w:val="670618"/>
  </w:num>
  <w:num w:numId="14">
    <w:abstractNumId w:val="670619"/>
  </w:num>
  <w:num w:numId="15">
    <w:abstractNumId w:val="670620"/>
  </w:num>
  <w:num w:numId="16">
    <w:abstractNumId w:val="670621"/>
  </w:num>
  <w:num w:numId="17">
    <w:abstractNumId w:val="670622"/>
  </w:num>
  <w:num w:numId="18">
    <w:abstractNumId w:val="670623"/>
  </w:num>
  <w:num w:numId="19">
    <w:abstractNumId w:val="670624"/>
  </w:num>
  <w:num w:numId="20">
    <w:abstractNumId w:val="670625"/>
  </w:num>
  <w:num w:numId="21">
    <w:abstractNumId w:val="6706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2026-03-14T12:59:15Z</dcterms:created>
  <dc:creator>Apache POI</dc:creator>
</cp:coreProperties>
</file>