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2.0 -->
  <w:body>
    <w:p>
      <w:pPr>
        <w:pStyle w:val="Heading1"/>
      </w:pPr>
      <w:r>
        <w:t>FRD – CR-48337 Equitas Bank UCIC Login Enhancement (inSURE 2.0)</w:t>
      </w:r>
    </w:p>
    <w:p>
      <w:r>
        <w:t>Sep 30, 2026</w:t>
      </w:r>
      <w:r>
        <w:t xml:space="preserve"> · </w:t>
      </w:r>
      <w:r>
        <w:t>@Dinesh Mehta</w:t>
      </w:r>
    </w:p>
    <w:p>
      <w:pPr>
        <w:pStyle w:val="Heading2"/>
      </w:pPr>
      <w:r>
        <w:t>1. Document control</w:t>
      </w:r>
    </w:p>
    <w:p>
      <w:r>
        <w:t>This FRD turns the Equitas Bank User Requirement Document (URD) into build-ready requirements for the insurer's login journey in inSURE 2.0 on the MERN stack.</w:t>
      </w:r>
    </w:p>
    <w:tbl>
      <w:tblPr>
        <w:tblStyle w:val="TableGrid"/>
        <w:tblW w:w="0" w:type="auto"/>
        <w:tblLayout w:type="fixed"/>
        <w:tblLook w:val="0420"/>
      </w:tblPr>
      <w:tblGrid>
        <w:gridCol w:w="4680"/>
        <w:gridCol w:w="4680"/>
      </w:tblGrid>
      <w:tr>
        <w:tblPrEx>
          <w:tblW w:w="0" w:type="auto"/>
          <w:tblLayout w:type="fixed"/>
          <w:tblLook w:val="0420"/>
        </w:tblPrEx>
        <w:trPr>
          <w:tblHeader/>
        </w:trPr>
        <w:tc>
          <w:tcPr>
            <w:tcW w:w="4680" w:type="dxa"/>
            <w:shd w:val="clear" w:color="auto" w:fill="F2F2F2"/>
          </w:tcPr>
          <w:p>
            <w:r>
              <w:t>Item</w:t>
            </w:r>
          </w:p>
        </w:tc>
        <w:tc>
          <w:tcPr>
            <w:tcW w:w="4680" w:type="dxa"/>
            <w:shd w:val="clear" w:color="auto" w:fill="F2F2F2"/>
          </w:tcPr>
          <w:p>
            <w:r>
              <w:t>Detail</w:t>
            </w:r>
          </w:p>
        </w:tc>
      </w:tr>
      <w:tr>
        <w:tblPrEx>
          <w:tblW w:w="0" w:type="auto"/>
          <w:tblLayout w:type="fixed"/>
          <w:tblLook w:val="0420"/>
        </w:tblPrEx>
        <w:tc>
          <w:tcPr>
            <w:tcW w:w="4680" w:type="dxa"/>
          </w:tcPr>
          <w:p>
            <w:r>
              <w:t>CR number</w:t>
            </w:r>
          </w:p>
        </w:tc>
        <w:tc>
          <w:tcPr>
            <w:tcW w:w="4680" w:type="dxa"/>
          </w:tcPr>
          <w:p>
            <w:r>
              <w:t>CR-48337</w:t>
            </w:r>
          </w:p>
        </w:tc>
      </w:tr>
      <w:tr>
        <w:tblPrEx>
          <w:tblW w:w="0" w:type="auto"/>
          <w:tblLayout w:type="fixed"/>
          <w:tblLook w:val="0420"/>
        </w:tblPrEx>
        <w:tc>
          <w:tcPr>
            <w:tcW w:w="4680" w:type="dxa"/>
          </w:tcPr>
          <w:p>
            <w:r>
              <w:t>Title</w:t>
            </w:r>
          </w:p>
        </w:tc>
        <w:tc>
          <w:tcPr>
            <w:tcW w:w="4680" w:type="dxa"/>
          </w:tcPr>
          <w:p>
            <w:r>
              <w:t>Equitas Bank enhancement – UCIC-based login validation, pre-population and MIS</w:t>
            </w:r>
          </w:p>
        </w:tc>
      </w:tr>
      <w:tr>
        <w:tblPrEx>
          <w:tblW w:w="0" w:type="auto"/>
          <w:tblLayout w:type="fixed"/>
          <w:tblLook w:val="0420"/>
        </w:tblPrEx>
        <w:tc>
          <w:tcPr>
            <w:tcW w:w="4680" w:type="dxa"/>
          </w:tcPr>
          <w:p>
            <w:r>
              <w:t>Partner bank</w:t>
            </w:r>
          </w:p>
        </w:tc>
        <w:tc>
          <w:tcPr>
            <w:tcW w:w="4680" w:type="dxa"/>
          </w:tcPr>
          <w:p>
            <w:r>
              <w:t>Equitas Small Finance Bank (bancassurance)</w:t>
            </w:r>
          </w:p>
        </w:tc>
      </w:tr>
      <w:tr>
        <w:tblPrEx>
          <w:tblW w:w="0" w:type="auto"/>
          <w:tblLayout w:type="fixed"/>
          <w:tblLook w:val="0420"/>
        </w:tblPrEx>
        <w:tc>
          <w:tcPr>
            <w:tcW w:w="4680" w:type="dxa"/>
          </w:tcPr>
          <w:p>
            <w:r>
              <w:t>Insurer</w:t>
            </w:r>
          </w:p>
        </w:tc>
        <w:tc>
          <w:tcPr>
            <w:tcW w:w="4680" w:type="dxa"/>
          </w:tcPr>
          <w:p>
            <w:r>
              <w:t>Canara HSBC Life Insurance Co. Ltd</w:t>
            </w:r>
          </w:p>
        </w:tc>
      </w:tr>
      <w:tr>
        <w:tblPrEx>
          <w:tblW w:w="0" w:type="auto"/>
          <w:tblLayout w:type="fixed"/>
          <w:tblLook w:val="0420"/>
        </w:tblPrEx>
        <w:tc>
          <w:tcPr>
            <w:tcW w:w="4680" w:type="dxa"/>
          </w:tcPr>
          <w:p>
            <w:r>
              <w:t>Insurer system</w:t>
            </w:r>
          </w:p>
        </w:tc>
        <w:tc>
          <w:tcPr>
            <w:tcW w:w="4680" w:type="dxa"/>
          </w:tcPr>
          <w:p>
            <w:r>
              <w:t>inSURE 2.0 (login / proposal journey)</w:t>
            </w:r>
          </w:p>
        </w:tc>
      </w:tr>
      <w:tr>
        <w:tblPrEx>
          <w:tblW w:w="0" w:type="auto"/>
          <w:tblLayout w:type="fixed"/>
          <w:tblLook w:val="0420"/>
        </w:tblPrEx>
        <w:tc>
          <w:tcPr>
            <w:tcW w:w="4680" w:type="dxa"/>
          </w:tcPr>
          <w:p>
            <w:r>
              <w:t>Bank APIs consumed</w:t>
            </w:r>
          </w:p>
        </w:tc>
        <w:tc>
          <w:tcPr>
            <w:tcW w:w="4680" w:type="dxa"/>
          </w:tcPr>
          <w:p>
            <w:r>
              <w:t>Fetchcustomer v3 API, Download Doc API</w:t>
            </w:r>
          </w:p>
        </w:tc>
      </w:tr>
      <w:tr>
        <w:tblPrEx>
          <w:tblW w:w="0" w:type="auto"/>
          <w:tblLayout w:type="fixed"/>
          <w:tblLook w:val="0420"/>
        </w:tblPrEx>
        <w:tc>
          <w:tcPr>
            <w:tcW w:w="4680" w:type="dxa"/>
          </w:tcPr>
          <w:p>
            <w:r>
              <w:t>Technology</w:t>
            </w:r>
          </w:p>
        </w:tc>
        <w:tc>
          <w:tcPr>
            <w:tcW w:w="4680" w:type="dxa"/>
          </w:tcPr>
          <w:p>
            <w:r>
              <w:t>MERN – MongoDB, Express.js, React, Node.js</w:t>
            </w:r>
          </w:p>
        </w:tc>
      </w:tr>
      <w:tr>
        <w:tblPrEx>
          <w:tblW w:w="0" w:type="auto"/>
          <w:tblLayout w:type="fixed"/>
          <w:tblLook w:val="0420"/>
        </w:tblPrEx>
        <w:tc>
          <w:tcPr>
            <w:tcW w:w="4680" w:type="dxa"/>
          </w:tcPr>
          <w:p>
            <w:r>
              <w:t>Source</w:t>
            </w:r>
          </w:p>
        </w:tc>
        <w:tc>
          <w:tcPr>
            <w:tcW w:w="4680" w:type="dxa"/>
          </w:tcPr>
          <w:p>
            <w:r>
              <w:t>Equitas Bank URD</w:t>
            </w:r>
          </w:p>
        </w:tc>
      </w:tr>
      <w:tr>
        <w:tblPrEx>
          <w:tblW w:w="0" w:type="auto"/>
          <w:tblLayout w:type="fixed"/>
          <w:tblLook w:val="0420"/>
        </w:tblPrEx>
        <w:tc>
          <w:tcPr>
            <w:tcW w:w="4680" w:type="dxa"/>
          </w:tcPr>
          <w:p>
            <w:r>
              <w:t>FRD version</w:t>
            </w:r>
          </w:p>
        </w:tc>
        <w:tc>
          <w:tcPr>
            <w:tcW w:w="4680" w:type="dxa"/>
          </w:tcPr>
          <w:p>
            <w:r>
              <w:t>0.1 – Draft for review</w:t>
            </w:r>
          </w:p>
        </w:tc>
      </w:tr>
    </w:tbl>
    <w:p>
      <w:r>
        <w:rPr>
          <w:b/>
        </w:rPr>
        <w:t>Revision history</w:t>
      </w:r>
    </w:p>
    <w:tbl>
      <w:tblPr>
        <w:tblStyle w:val="TableGrid"/>
        <w:tblW w:w="0" w:type="auto"/>
        <w:tblLayout w:type="fixed"/>
        <w:tblLook w:val="0420"/>
      </w:tblPr>
      <w:tblGrid>
        <w:gridCol w:w="3120"/>
        <w:gridCol w:w="3120"/>
        <w:gridCol w:w="3120"/>
      </w:tblGrid>
      <w:tr>
        <w:tblPrEx>
          <w:tblW w:w="0" w:type="auto"/>
          <w:tblLayout w:type="fixed"/>
          <w:tblLook w:val="0420"/>
        </w:tblPrEx>
        <w:trPr>
          <w:tblHeader/>
        </w:trPr>
        <w:tc>
          <w:tcPr>
            <w:tcW w:w="3120" w:type="dxa"/>
            <w:shd w:val="clear" w:color="auto" w:fill="F2F2F2"/>
          </w:tcPr>
          <w:p>
            <w:r>
              <w:t>Version</w:t>
            </w:r>
          </w:p>
        </w:tc>
        <w:tc>
          <w:tcPr>
            <w:tcW w:w="3120" w:type="dxa"/>
            <w:shd w:val="clear" w:color="auto" w:fill="F2F2F2"/>
          </w:tcPr>
          <w:p>
            <w:r>
              <w:t>Date</w:t>
            </w:r>
          </w:p>
        </w:tc>
        <w:tc>
          <w:tcPr>
            <w:tcW w:w="3120" w:type="dxa"/>
            <w:shd w:val="clear" w:color="auto" w:fill="F2F2F2"/>
          </w:tcPr>
          <w:p>
            <w:r>
              <w:t>Change</w:t>
            </w:r>
          </w:p>
        </w:tc>
      </w:tr>
      <w:tr>
        <w:tblPrEx>
          <w:tblW w:w="0" w:type="auto"/>
          <w:tblLayout w:type="fixed"/>
          <w:tblLook w:val="0420"/>
        </w:tblPrEx>
        <w:tc>
          <w:tcPr>
            <w:tcW w:w="3120" w:type="dxa"/>
          </w:tcPr>
          <w:p>
            <w:r>
              <w:t>0.1</w:t>
            </w:r>
          </w:p>
        </w:tc>
        <w:tc>
          <w:tcPr>
            <w:tcW w:w="3120" w:type="dxa"/>
          </w:tcPr>
          <w:p>
            <w:r>
              <w:t>30 Sep 2026</w:t>
            </w:r>
          </w:p>
        </w:tc>
        <w:tc>
          <w:tcPr>
            <w:tcW w:w="3120" w:type="dxa"/>
          </w:tcPr>
          <w:p>
            <w:r>
              <w:t>First draft from Equitas URD</w:t>
            </w:r>
          </w:p>
        </w:tc>
      </w:tr>
    </w:tbl>
    <w:p>
      <w:pPr>
        <w:pStyle w:val="Heading2"/>
      </w:pPr>
      <w:r>
        <w:t>2. Background, objective and scope</w:t>
      </w:r>
    </w:p>
    <w:p>
      <w:r>
        <w:t>Equitas Bank customers can be logged directly on the insurer application, in addition to the bank's ENVI platform. The bank requires that every such login is first validated against its records, uses bank-verified customer data, and credits the right bank staff and branch.</w:t>
      </w:r>
    </w:p>
    <w:p>
      <w:r>
        <w:rPr>
          <w:b/>
        </w:rPr>
        <w:t>Objective:</w:t>
      </w:r>
      <w:r>
        <w:t xml:space="preserve"> allow a login only for a genuine Equitas customer with an active account and a recent, closed insurance Service Request (SR) for the insurer, and carry the bank's data and credit codes through to the final MIS.</w:t>
      </w:r>
    </w:p>
    <w:p>
      <w:r>
        <w:rPr>
          <w:b/>
        </w:rPr>
        <w:t>In scope</w:t>
      </w:r>
    </w:p>
    <w:tbl>
      <w:tblPr>
        <w:tblStyle w:val="TableGrid"/>
        <w:tblW w:w="0" w:type="auto"/>
        <w:tblLayout w:type="fixed"/>
        <w:tblLook w:val="0420"/>
      </w:tblPr>
      <w:tblGrid>
        <w:gridCol w:w="3120"/>
        <w:gridCol w:w="3120"/>
        <w:gridCol w:w="3120"/>
      </w:tblGrid>
      <w:tr>
        <w:tblPrEx>
          <w:tblW w:w="0" w:type="auto"/>
          <w:tblLayout w:type="fixed"/>
          <w:tblLook w:val="0420"/>
        </w:tblPrEx>
        <w:trPr>
          <w:tblHeader/>
        </w:trPr>
        <w:tc>
          <w:tcPr>
            <w:tcW w:w="3120" w:type="dxa"/>
            <w:shd w:val="clear" w:color="auto" w:fill="F2F2F2"/>
          </w:tcPr>
          <w:p>
            <w:r>
              <w:t>#</w:t>
            </w:r>
          </w:p>
        </w:tc>
        <w:tc>
          <w:tcPr>
            <w:tcW w:w="3120" w:type="dxa"/>
            <w:shd w:val="clear" w:color="auto" w:fill="F2F2F2"/>
          </w:tcPr>
          <w:p>
            <w:r>
              <w:t>Area</w:t>
            </w:r>
          </w:p>
        </w:tc>
        <w:tc>
          <w:tcPr>
            <w:tcW w:w="3120" w:type="dxa"/>
            <w:shd w:val="clear" w:color="auto" w:fill="F2F2F2"/>
          </w:tcPr>
          <w:p>
            <w:r>
              <w:t>URD ref</w:t>
            </w:r>
          </w:p>
        </w:tc>
      </w:tr>
      <w:tr>
        <w:tblPrEx>
          <w:tblW w:w="0" w:type="auto"/>
          <w:tblLayout w:type="fixed"/>
          <w:tblLook w:val="0420"/>
        </w:tblPrEx>
        <w:tc>
          <w:tcPr>
            <w:tcW w:w="3120" w:type="dxa"/>
          </w:tcPr>
          <w:p>
            <w:r>
              <w:t>1</w:t>
            </w:r>
          </w:p>
        </w:tc>
        <w:tc>
          <w:tcPr>
            <w:tcW w:w="3120" w:type="dxa"/>
          </w:tcPr>
          <w:p>
            <w:r>
              <w:t>UCIC entry and validation through Fetchcustomer v3 API</w:t>
            </w:r>
          </w:p>
        </w:tc>
        <w:tc>
          <w:tcPr>
            <w:tcW w:w="3120" w:type="dxa"/>
          </w:tcPr>
          <w:p>
            <w:r>
              <w:t>a, b</w:t>
            </w:r>
          </w:p>
        </w:tc>
      </w:tr>
      <w:tr>
        <w:tblPrEx>
          <w:tblW w:w="0" w:type="auto"/>
          <w:tblLayout w:type="fixed"/>
          <w:tblLook w:val="0420"/>
        </w:tblPrEx>
        <w:tc>
          <w:tcPr>
            <w:tcW w:w="3120" w:type="dxa"/>
          </w:tcPr>
          <w:p>
            <w:r>
              <w:t>2</w:t>
            </w:r>
          </w:p>
        </w:tc>
        <w:tc>
          <w:tcPr>
            <w:tcW w:w="3120" w:type="dxa"/>
          </w:tcPr>
          <w:p>
            <w:r>
              <w:t>SR checks: latest SR, closed status, insurer product, 30-day window</w:t>
            </w:r>
          </w:p>
        </w:tc>
        <w:tc>
          <w:tcPr>
            <w:tcW w:w="3120" w:type="dxa"/>
          </w:tcPr>
          <w:p>
            <w:r>
              <w:t>a.iv–a.vi</w:t>
            </w:r>
          </w:p>
        </w:tc>
      </w:tr>
      <w:tr>
        <w:tblPrEx>
          <w:tblW w:w="0" w:type="auto"/>
          <w:tblLayout w:type="fixed"/>
          <w:tblLook w:val="0420"/>
        </w:tblPrEx>
        <w:tc>
          <w:tcPr>
            <w:tcW w:w="3120" w:type="dxa"/>
          </w:tcPr>
          <w:p>
            <w:r>
              <w:t>3</w:t>
            </w:r>
          </w:p>
        </w:tc>
        <w:tc>
          <w:tcPr>
            <w:tcW w:w="3120" w:type="dxa"/>
          </w:tcPr>
          <w:p>
            <w:r>
              <w:t>Customer type identification (Resident, NRI, Non Individual)</w:t>
            </w:r>
          </w:p>
        </w:tc>
        <w:tc>
          <w:tcPr>
            <w:tcW w:w="3120" w:type="dxa"/>
          </w:tcPr>
          <w:p>
            <w:r>
              <w:t>c</w:t>
            </w:r>
          </w:p>
        </w:tc>
      </w:tr>
      <w:tr>
        <w:tblPrEx>
          <w:tblW w:w="0" w:type="auto"/>
          <w:tblLayout w:type="fixed"/>
          <w:tblLook w:val="0420"/>
        </w:tblPrEx>
        <w:tc>
          <w:tcPr>
            <w:tcW w:w="3120" w:type="dxa"/>
          </w:tcPr>
          <w:p>
            <w:r>
              <w:t>4</w:t>
            </w:r>
          </w:p>
        </w:tc>
        <w:tc>
          <w:tcPr>
            <w:tcW w:w="3120" w:type="dxa"/>
          </w:tcPr>
          <w:p>
            <w:r>
              <w:t>Pre-population and field editability by customer type</w:t>
            </w:r>
          </w:p>
        </w:tc>
        <w:tc>
          <w:tcPr>
            <w:tcW w:w="3120" w:type="dxa"/>
          </w:tcPr>
          <w:p>
            <w:r>
              <w:t>d</w:t>
            </w:r>
          </w:p>
        </w:tc>
      </w:tr>
      <w:tr>
        <w:tblPrEx>
          <w:tblW w:w="0" w:type="auto"/>
          <w:tblLayout w:type="fixed"/>
          <w:tblLook w:val="0420"/>
        </w:tblPrEx>
        <w:tc>
          <w:tcPr>
            <w:tcW w:w="3120" w:type="dxa"/>
          </w:tcPr>
          <w:p>
            <w:r>
              <w:t>5</w:t>
            </w:r>
          </w:p>
        </w:tc>
        <w:tc>
          <w:tcPr>
            <w:tcW w:w="3120" w:type="dxa"/>
          </w:tcPr>
          <w:p>
            <w:r>
              <w:t>City and state mapping from insurer pincode master</w:t>
            </w:r>
          </w:p>
        </w:tc>
        <w:tc>
          <w:tcPr>
            <w:tcW w:w="3120" w:type="dxa"/>
          </w:tcPr>
          <w:p>
            <w:r>
              <w:t>e</w:t>
            </w:r>
          </w:p>
        </w:tc>
      </w:tr>
      <w:tr>
        <w:tblPrEx>
          <w:tblW w:w="0" w:type="auto"/>
          <w:tblLayout w:type="fixed"/>
          <w:tblLook w:val="0420"/>
        </w:tblPrEx>
        <w:tc>
          <w:tcPr>
            <w:tcW w:w="3120" w:type="dxa"/>
          </w:tcPr>
          <w:p>
            <w:r>
              <w:t>6</w:t>
            </w:r>
          </w:p>
        </w:tc>
        <w:tc>
          <w:tcPr>
            <w:tcW w:w="3120" w:type="dxa"/>
          </w:tcPr>
          <w:p>
            <w:r>
              <w:t>Credit mapping: UCIC, LG code, SP code, Sol ID</w:t>
            </w:r>
          </w:p>
        </w:tc>
        <w:tc>
          <w:tcPr>
            <w:tcW w:w="3120" w:type="dxa"/>
          </w:tcPr>
          <w:p>
            <w:r>
              <w:t>f</w:t>
            </w:r>
          </w:p>
        </w:tc>
      </w:tr>
      <w:tr>
        <w:tblPrEx>
          <w:tblW w:w="0" w:type="auto"/>
          <w:tblLayout w:type="fixed"/>
          <w:tblLook w:val="0420"/>
        </w:tblPrEx>
        <w:tc>
          <w:tcPr>
            <w:tcW w:w="3120" w:type="dxa"/>
          </w:tcPr>
          <w:p>
            <w:r>
              <w:t>7</w:t>
            </w:r>
          </w:p>
        </w:tc>
        <w:tc>
          <w:tcPr>
            <w:tcW w:w="3120" w:type="dxa"/>
          </w:tcPr>
          <w:p>
            <w:r>
              <w:t>Payment mode restriction (DD blocked)</w:t>
            </w:r>
          </w:p>
        </w:tc>
        <w:tc>
          <w:tcPr>
            <w:tcW w:w="3120" w:type="dxa"/>
          </w:tcPr>
          <w:p>
            <w:r>
              <w:t>h</w:t>
            </w:r>
          </w:p>
        </w:tc>
      </w:tr>
      <w:tr>
        <w:tblPrEx>
          <w:tblW w:w="0" w:type="auto"/>
          <w:tblLayout w:type="fixed"/>
          <w:tblLook w:val="0420"/>
        </w:tblPrEx>
        <w:tc>
          <w:tcPr>
            <w:tcW w:w="3120" w:type="dxa"/>
          </w:tcPr>
          <w:p>
            <w:r>
              <w:t>8</w:t>
            </w:r>
          </w:p>
        </w:tc>
        <w:tc>
          <w:tcPr>
            <w:tcW w:w="3120" w:type="dxa"/>
          </w:tcPr>
          <w:p>
            <w:r>
              <w:t>Optional use of Equitas suitability via Download Doc API</w:t>
            </w:r>
          </w:p>
        </w:tc>
        <w:tc>
          <w:tcPr>
            <w:tcW w:w="3120" w:type="dxa"/>
          </w:tcPr>
          <w:p>
            <w:r>
              <w:t>i</w:t>
            </w:r>
          </w:p>
        </w:tc>
      </w:tr>
      <w:tr>
        <w:tblPrEx>
          <w:tblW w:w="0" w:type="auto"/>
          <w:tblLayout w:type="fixed"/>
          <w:tblLook w:val="0420"/>
        </w:tblPrEx>
        <w:tc>
          <w:tcPr>
            <w:tcW w:w="3120" w:type="dxa"/>
          </w:tcPr>
          <w:p>
            <w:r>
              <w:t>9</w:t>
            </w:r>
          </w:p>
        </w:tc>
        <w:tc>
          <w:tcPr>
            <w:tcW w:w="3120" w:type="dxa"/>
          </w:tcPr>
          <w:p>
            <w:r>
              <w:t>Consolidated MIS for ENVI and direct logins</w:t>
            </w:r>
          </w:p>
        </w:tc>
        <w:tc>
          <w:tcPr>
            <w:tcW w:w="3120" w:type="dxa"/>
          </w:tcPr>
          <w:p>
            <w:r>
              <w:t>j</w:t>
            </w:r>
          </w:p>
        </w:tc>
      </w:tr>
      <w:tr>
        <w:tblPrEx>
          <w:tblW w:w="0" w:type="auto"/>
          <w:tblLayout w:type="fixed"/>
          <w:tblLook w:val="0420"/>
        </w:tblPrEx>
        <w:tc>
          <w:tcPr>
            <w:tcW w:w="3120" w:type="dxa"/>
          </w:tcPr>
          <w:p>
            <w:r>
              <w:t>10</w:t>
            </w:r>
          </w:p>
        </w:tc>
        <w:tc>
          <w:tcPr>
            <w:tcW w:w="3120" w:type="dxa"/>
          </w:tcPr>
          <w:p>
            <w:r>
              <w:t>Product list enabled for the journey (9 products)</w:t>
            </w:r>
          </w:p>
        </w:tc>
        <w:tc>
          <w:tcPr>
            <w:tcW w:w="3120" w:type="dxa"/>
          </w:tcPr>
          <w:p>
            <w:r>
              <w:t>Products table</w:t>
            </w:r>
          </w:p>
        </w:tc>
      </w:tr>
    </w:tbl>
    <w:p>
      <w:r>
        <w:rPr>
          <w:b/>
        </w:rPr>
        <w:t>Out of scope</w:t>
      </w:r>
    </w:p>
    <w:p>
      <w:pPr>
        <w:pStyle w:val="ListParagraph"/>
        <w:numPr>
          <w:ilvl w:val="0"/>
          <w:numId w:val="2"/>
        </w:numPr>
      </w:pPr>
      <w:r>
        <w:t>Changes to the rest of the login journey after these checks; it continues as today (URD g).</w:t>
      </w:r>
    </w:p>
    <w:p>
      <w:pPr>
        <w:pStyle w:val="ListParagraph"/>
        <w:numPr>
          <w:ilvl w:val="0"/>
          <w:numId w:val="2"/>
        </w:numPr>
      </w:pPr>
      <w:r>
        <w:t>Back-office MIS layout, which is defined in the separate back-office requirement.</w:t>
      </w:r>
    </w:p>
    <w:p>
      <w:pPr>
        <w:pStyle w:val="ListParagraph"/>
        <w:numPr>
          <w:ilvl w:val="0"/>
          <w:numId w:val="2"/>
        </w:numPr>
      </w:pPr>
      <w:r>
        <w:t>Life Insured (LI) data: always entered directly in the insurer application, never pre-populated.</w:t>
      </w:r>
    </w:p>
    <w:p>
      <w:pPr>
        <w:pStyle w:val="Heading2"/>
      </w:pPr>
      <w:r>
        <w:t>3. FR-01 UCIC and SR validation at login (URD a, b)</w:t>
      </w:r>
    </w:p>
    <w:p>
      <w:r>
        <w:t>The first screen of the insurer application asks for the customer's UCIC. On submit, inSURE 2.0 calls the Equitas Fetchcustomer v3 API and applies the checks below in order. The first failing check blocks the journey with its message; if all pass, login proceeds.</w:t>
      </w:r>
    </w:p>
    <w:tbl>
      <w:tblPr>
        <w:tblStyle w:val="TableGrid"/>
        <w:tblW w:w="0" w:type="auto"/>
        <w:tblLayout w:type="fixed"/>
        <w:tblLook w:val="0420"/>
      </w:tblPr>
      <w:tblGrid>
        <w:gridCol w:w="1872"/>
        <w:gridCol w:w="1872"/>
        <w:gridCol w:w="1872"/>
        <w:gridCol w:w="1872"/>
        <w:gridCol w:w="1872"/>
      </w:tblGrid>
      <w:tr>
        <w:tblPrEx>
          <w:tblW w:w="0" w:type="auto"/>
          <w:tblLayout w:type="fixed"/>
          <w:tblLook w:val="0420"/>
        </w:tblPrEx>
        <w:trPr>
          <w:tblHeader/>
        </w:trPr>
        <w:tc>
          <w:tcPr>
            <w:tcW w:w="1872" w:type="dxa"/>
            <w:shd w:val="clear" w:color="auto" w:fill="F2F2F2"/>
          </w:tcPr>
          <w:p>
            <w:r>
              <w:t>Seq</w:t>
            </w:r>
          </w:p>
        </w:tc>
        <w:tc>
          <w:tcPr>
            <w:tcW w:w="1872" w:type="dxa"/>
            <w:shd w:val="clear" w:color="auto" w:fill="F2F2F2"/>
          </w:tcPr>
          <w:p>
            <w:r>
              <w:t>Check</w:t>
            </w:r>
          </w:p>
        </w:tc>
        <w:tc>
          <w:tcPr>
            <w:tcW w:w="1872" w:type="dxa"/>
            <w:shd w:val="clear" w:color="auto" w:fill="F2F2F2"/>
          </w:tcPr>
          <w:p>
            <w:r>
              <w:t>Block when</w:t>
            </w:r>
          </w:p>
        </w:tc>
        <w:tc>
          <w:tcPr>
            <w:tcW w:w="1872" w:type="dxa"/>
            <w:shd w:val="clear" w:color="auto" w:fill="F2F2F2"/>
          </w:tcPr>
          <w:p>
            <w:r>
              <w:t>Proposed message</w:t>
            </w:r>
          </w:p>
        </w:tc>
        <w:tc>
          <w:tcPr>
            <w:tcW w:w="1872" w:type="dxa"/>
            <w:shd w:val="clear" w:color="auto" w:fill="F2F2F2"/>
          </w:tcPr>
          <w:p>
            <w:r>
              <w:t>URD ref</w:t>
            </w:r>
          </w:p>
        </w:tc>
      </w:tr>
      <w:tr>
        <w:tblPrEx>
          <w:tblW w:w="0" w:type="auto"/>
          <w:tblLayout w:type="fixed"/>
          <w:tblLook w:val="0420"/>
        </w:tblPrEx>
        <w:tc>
          <w:tcPr>
            <w:tcW w:w="1872" w:type="dxa"/>
          </w:tcPr>
          <w:p>
            <w:r>
              <w:t>V1</w:t>
            </w:r>
          </w:p>
        </w:tc>
        <w:tc>
          <w:tcPr>
            <w:tcW w:w="1872" w:type="dxa"/>
          </w:tcPr>
          <w:p>
            <w:r>
              <w:t>UCIC exists</w:t>
            </w:r>
          </w:p>
        </w:tc>
        <w:tc>
          <w:tcPr>
            <w:tcW w:w="1872" w:type="dxa"/>
          </w:tcPr>
          <w:p>
            <w:r>
              <w:t>API returns no customer for the UCIC</w:t>
            </w:r>
          </w:p>
        </w:tc>
        <w:tc>
          <w:tcPr>
            <w:tcW w:w="1872" w:type="dxa"/>
          </w:tcPr>
          <w:p>
            <w:r>
              <w:t>"UCIC not found. Please check and re-enter."</w:t>
            </w:r>
          </w:p>
        </w:tc>
        <w:tc>
          <w:tcPr>
            <w:tcW w:w="1872" w:type="dxa"/>
          </w:tcPr>
          <w:p>
            <w:r>
              <w:t>a.i</w:t>
            </w:r>
          </w:p>
        </w:tc>
      </w:tr>
      <w:tr>
        <w:tblPrEx>
          <w:tblW w:w="0" w:type="auto"/>
          <w:tblLayout w:type="fixed"/>
          <w:tblLook w:val="0420"/>
        </w:tblPrEx>
        <w:tc>
          <w:tcPr>
            <w:tcW w:w="1872" w:type="dxa"/>
          </w:tcPr>
          <w:p>
            <w:r>
              <w:t>V2</w:t>
            </w:r>
          </w:p>
        </w:tc>
        <w:tc>
          <w:tcPr>
            <w:tcW w:w="1872" w:type="dxa"/>
          </w:tcPr>
          <w:p>
            <w:r>
              <w:t>Relationship exists</w:t>
            </w:r>
          </w:p>
        </w:tc>
        <w:tc>
          <w:tcPr>
            <w:tcW w:w="1872" w:type="dxa"/>
          </w:tcPr>
          <w:p>
            <w:r>
              <w:t>No Savings, Current, FD or RD account with Equitas</w:t>
            </w:r>
          </w:p>
        </w:tc>
        <w:tc>
          <w:tcPr>
            <w:tcW w:w="1872" w:type="dxa"/>
          </w:tcPr>
          <w:p>
            <w:r>
              <w:t>"No Savings/Current/FD/RD account found for this UCIC."</w:t>
            </w:r>
          </w:p>
        </w:tc>
        <w:tc>
          <w:tcPr>
            <w:tcW w:w="1872" w:type="dxa"/>
          </w:tcPr>
          <w:p>
            <w:r>
              <w:t>a.ii</w:t>
            </w:r>
          </w:p>
        </w:tc>
      </w:tr>
      <w:tr>
        <w:tblPrEx>
          <w:tblW w:w="0" w:type="auto"/>
          <w:tblLayout w:type="fixed"/>
          <w:tblLook w:val="0420"/>
        </w:tblPrEx>
        <w:tc>
          <w:tcPr>
            <w:tcW w:w="1872" w:type="dxa"/>
          </w:tcPr>
          <w:p>
            <w:r>
              <w:t>V3</w:t>
            </w:r>
          </w:p>
        </w:tc>
        <w:tc>
          <w:tcPr>
            <w:tcW w:w="1872" w:type="dxa"/>
          </w:tcPr>
          <w:p>
            <w:r>
              <w:t>Relationship active</w:t>
            </w:r>
          </w:p>
        </w:tc>
        <w:tc>
          <w:tcPr>
            <w:tcW w:w="1872" w:type="dxa"/>
          </w:tcPr>
          <w:p>
            <w:r>
              <w:t>None of the Savings/Current/FD/RD accounts is active</w:t>
            </w:r>
          </w:p>
        </w:tc>
        <w:tc>
          <w:tcPr>
            <w:tcW w:w="1872" w:type="dxa"/>
          </w:tcPr>
          <w:p>
            <w:r>
              <w:t>"No active account found for this UCIC."</w:t>
            </w:r>
          </w:p>
        </w:tc>
        <w:tc>
          <w:tcPr>
            <w:tcW w:w="1872" w:type="dxa"/>
          </w:tcPr>
          <w:p>
            <w:r>
              <w:t>a.iii</w:t>
            </w:r>
          </w:p>
        </w:tc>
      </w:tr>
      <w:tr>
        <w:tblPrEx>
          <w:tblW w:w="0" w:type="auto"/>
          <w:tblLayout w:type="fixed"/>
          <w:tblLook w:val="0420"/>
        </w:tblPrEx>
        <w:tc>
          <w:tcPr>
            <w:tcW w:w="1872" w:type="dxa"/>
          </w:tcPr>
          <w:p>
            <w:r>
              <w:t>V4</w:t>
            </w:r>
          </w:p>
        </w:tc>
        <w:tc>
          <w:tcPr>
            <w:tcW w:w="1872" w:type="dxa"/>
          </w:tcPr>
          <w:p>
            <w:r>
              <w:t>SR available</w:t>
            </w:r>
          </w:p>
        </w:tc>
        <w:tc>
          <w:tcPr>
            <w:tcW w:w="1872" w:type="dxa"/>
          </w:tcPr>
          <w:p>
            <w:r>
              <w:t>SR list is empty (no insurance SR, or no SR is closed yet – the list returns data only for closed SRs)</w:t>
            </w:r>
          </w:p>
        </w:tc>
        <w:tc>
          <w:tcPr>
            <w:tcW w:w="1872" w:type="dxa"/>
          </w:tcPr>
          <w:p>
            <w:r>
              <w:t>"No closed insurance Service Request found for the insurer."</w:t>
            </w:r>
          </w:p>
        </w:tc>
        <w:tc>
          <w:tcPr>
            <w:tcW w:w="1872" w:type="dxa"/>
          </w:tcPr>
          <w:p>
            <w:r>
              <w:t>a.iv</w:t>
            </w:r>
          </w:p>
        </w:tc>
      </w:tr>
      <w:tr>
        <w:tblPrEx>
          <w:tblW w:w="0" w:type="auto"/>
          <w:tblLayout w:type="fixed"/>
          <w:tblLook w:val="0420"/>
        </w:tblPrEx>
        <w:tc>
          <w:tcPr>
            <w:tcW w:w="1872" w:type="dxa"/>
          </w:tcPr>
          <w:p>
            <w:r>
              <w:t>V5</w:t>
            </w:r>
          </w:p>
        </w:tc>
        <w:tc>
          <w:tcPr>
            <w:tcW w:w="1872" w:type="dxa"/>
          </w:tcPr>
          <w:p>
            <w:r>
              <w:t>Latest SR valid</w:t>
            </w:r>
          </w:p>
        </w:tc>
        <w:tc>
          <w:tcPr>
            <w:tcW w:w="1872" w:type="dxa"/>
          </w:tcPr>
          <w:p>
            <w:r>
              <w:t>Latest SR (highest SR number) is not closed, or its product does not belong to the insurer</w:t>
            </w:r>
          </w:p>
        </w:tc>
        <w:tc>
          <w:tcPr>
            <w:tcW w:w="1872" w:type="dxa"/>
          </w:tcPr>
          <w:p>
            <w:r>
              <w:t>"Latest Service Request is not closed or not for this insurer."</w:t>
            </w:r>
          </w:p>
        </w:tc>
        <w:tc>
          <w:tcPr>
            <w:tcW w:w="1872" w:type="dxa"/>
          </w:tcPr>
          <w:p>
            <w:r>
              <w:t>a.iv</w:t>
            </w:r>
          </w:p>
        </w:tc>
      </w:tr>
      <w:tr>
        <w:tblPrEx>
          <w:tblW w:w="0" w:type="auto"/>
          <w:tblLayout w:type="fixed"/>
          <w:tblLook w:val="0420"/>
        </w:tblPrEx>
        <w:tc>
          <w:tcPr>
            <w:tcW w:w="1872" w:type="dxa"/>
          </w:tcPr>
          <w:p>
            <w:r>
              <w:t>V6</w:t>
            </w:r>
          </w:p>
        </w:tc>
        <w:tc>
          <w:tcPr>
            <w:tcW w:w="1872" w:type="dxa"/>
          </w:tcPr>
          <w:p>
            <w:r>
              <w:t>SR within 30 days</w:t>
            </w:r>
          </w:p>
        </w:tc>
        <w:tc>
          <w:tcPr>
            <w:tcW w:w="1872" w:type="dxa"/>
          </w:tcPr>
          <w:p>
            <w:r>
              <w:t>SR date (first 8 characters of SR number, yyyymmdd) is more than 30 days before the login date</w:t>
            </w:r>
          </w:p>
        </w:tc>
        <w:tc>
          <w:tcPr>
            <w:tcW w:w="1872" w:type="dxa"/>
          </w:tcPr>
          <w:p>
            <w:r>
              <w:t>"Service Request is older than 30 days. Please raise a new SR."</w:t>
            </w:r>
          </w:p>
        </w:tc>
        <w:tc>
          <w:tcPr>
            <w:tcW w:w="1872" w:type="dxa"/>
          </w:tcPr>
          <w:p>
            <w:r>
              <w:t>a.v</w:t>
            </w:r>
          </w:p>
        </w:tc>
      </w:tr>
    </w:tbl>
    <w:p>
      <w:r>
        <w:rPr>
          <w:b/>
        </w:rPr>
        <w:t>Rules</w:t>
      </w:r>
    </w:p>
    <w:p>
      <w:pPr>
        <w:pStyle w:val="ListParagraph"/>
        <w:numPr>
          <w:ilvl w:val="0"/>
          <w:numId w:val="3"/>
        </w:numPr>
      </w:pPr>
      <w:r>
        <w:rPr>
          <w:b/>
        </w:rPr>
        <w:t>Latest SR</w:t>
      </w:r>
      <w:r>
        <w:t xml:space="preserve"> = the SR with the highest SR number in the SR list; all other SRs are ignored.</w:t>
      </w:r>
    </w:p>
    <w:p>
      <w:pPr>
        <w:pStyle w:val="ListParagraph"/>
        <w:numPr>
          <w:ilvl w:val="0"/>
          <w:numId w:val="3"/>
        </w:numPr>
      </w:pPr>
      <w:r>
        <w:rPr>
          <w:b/>
        </w:rPr>
        <w:t>SR date</w:t>
      </w:r>
      <w:r>
        <w:t xml:space="preserve"> is parsed from characters 1–8 of the SR number as yyyymmdd. An unparseable date blocks the journey (treated as V6 failure).</w:t>
      </w:r>
    </w:p>
    <w:p>
      <w:pPr>
        <w:pStyle w:val="ListParagraph"/>
        <w:numPr>
          <w:ilvl w:val="0"/>
          <w:numId w:val="3"/>
        </w:numPr>
      </w:pPr>
      <w:r>
        <w:rPr>
          <w:b/>
        </w:rPr>
        <w:t>30-day window:</w:t>
      </w:r>
      <w:r>
        <w:t xml:space="preserve"> allowed when </w:t>
      </w:r>
      <w:r>
        <w:rPr>
          <w:rStyle w:val="CodeChar"/>
        </w:rPr>
        <w:t>loginDate − srDate ≤ 30</w:t>
      </w:r>
      <w:r>
        <w:t xml:space="preserve"> days; blocked when greater than 30 (boundary to be confirmed, see Open questions).</w:t>
      </w:r>
    </w:p>
    <w:p>
      <w:pPr>
        <w:pStyle w:val="ListParagraph"/>
        <w:numPr>
          <w:ilvl w:val="0"/>
          <w:numId w:val="3"/>
        </w:numPr>
      </w:pPr>
      <w:r>
        <w:rPr>
          <w:b/>
        </w:rPr>
        <w:t>Frozen codes (a.vi):</w:t>
      </w:r>
      <w:r>
        <w:t xml:space="preserve"> the product code and SP code of the latest SR are used for the login. Both are stored and shown read-only; the user cannot change them anywhere in the insurer journey.</w:t>
      </w:r>
    </w:p>
    <w:p>
      <w:pPr>
        <w:pStyle w:val="ListParagraph"/>
        <w:numPr>
          <w:ilvl w:val="0"/>
          <w:numId w:val="3"/>
        </w:numPr>
      </w:pPr>
      <w:r>
        <w:t>The product code must be one of the 9 enabled products (Section 6.6); otherwise V5 fails.</w:t>
      </w:r>
    </w:p>
    <w:p>
      <w:pPr>
        <w:pStyle w:val="ListParagraph"/>
        <w:numPr>
          <w:ilvl w:val="0"/>
          <w:numId w:val="3"/>
        </w:numPr>
      </w:pPr>
      <w:r>
        <w:t>Every validation attempt (UCIC, result, failing check, timestamp, user) is logged for audit.</w:t>
      </w:r>
    </w:p>
    <w:p>
      <w:r>
        <w:rPr>
          <w:b/>
        </w:rPr>
        <w:t>Acceptance criteria</w:t>
      </w:r>
    </w:p>
    <w:p>
      <w:pPr>
        <w:pStyle w:val="ListParagraph"/>
        <w:numPr>
          <w:ilvl w:val="0"/>
          <w:numId w:val="4"/>
        </w:numPr>
      </w:pPr>
      <w:r>
        <w:t>☐ Each of V1–V6 blocks with its own message when its condition is met.</w:t>
      </w:r>
    </w:p>
    <w:p>
      <w:pPr>
        <w:pStyle w:val="ListParagraph"/>
        <w:numPr>
          <w:ilvl w:val="0"/>
          <w:numId w:val="4"/>
        </w:numPr>
      </w:pPr>
      <w:r>
        <w:t>☐ A UCIC passing all checks proceeds to the customer-type step.</w:t>
      </w:r>
    </w:p>
    <w:p>
      <w:pPr>
        <w:pStyle w:val="ListParagraph"/>
        <w:numPr>
          <w:ilvl w:val="0"/>
          <w:numId w:val="4"/>
        </w:numPr>
      </w:pPr>
      <w:r>
        <w:t>☐ With three SRs in the list, only the highest SR number is evaluated.</w:t>
      </w:r>
    </w:p>
    <w:p>
      <w:pPr>
        <w:pStyle w:val="ListParagraph"/>
        <w:numPr>
          <w:ilvl w:val="0"/>
          <w:numId w:val="4"/>
        </w:numPr>
      </w:pPr>
      <w:r>
        <w:t>☐ Product code and SP code from the latest SR cannot be edited later in the journey.</w:t>
      </w:r>
    </w:p>
    <w:p>
      <w:pPr>
        <w:pStyle w:val="Heading2"/>
      </w:pPr>
      <w:r>
        <w:t>4. Login validation flow</w:t>
      </w:r>
    </w:p>
    <w:p>
      <w:r>
        <w:drawing>
          <wp:inline distT="0" distB="0" distL="0" distR="0">
            <wp:extent cx="5486400" cy="5470071"/>
            <wp:docPr id="1" name="image1" descr="UCIC login validation · six checks, then customer type"/>
            <wp:cNvGraphicFramePr/>
            <a:graphic xmlns:a="http://schemas.openxmlformats.org/drawingml/2006/main">
              <a:graphicData uri="http://schemas.openxmlformats.org/drawingml/2006/picture">
                <pic:pic xmlns:pic="http://schemas.openxmlformats.org/drawingml/2006/picture">
                  <pic:nvPicPr>
                    <pic:cNvPr id="1" name="image1" descr="UCIC login validation · six checks, then customer type"/>
                    <pic:cNvPicPr/>
                  </pic:nvPicPr>
                  <pic:blipFill>
                    <a:blip xmlns:r="http://schemas.openxmlformats.org/officeDocument/2006/relationships" r:embed="rId4"/>
                    <a:stretch>
                      <a:fillRect/>
                    </a:stretch>
                  </pic:blipFill>
                  <pic:spPr>
                    <a:xfrm>
                      <a:off x="0" y="0"/>
                      <a:ext cx="5486400" cy="5470071"/>
                    </a:xfrm>
                    <a:prstGeom prst="rect">
                      <a:avLst/>
                    </a:prstGeom>
                  </pic:spPr>
                </pic:pic>
              </a:graphicData>
            </a:graphic>
          </wp:inline>
        </w:drawing>
      </w:r>
    </w:p>
    <w:p>
      <w:r>
        <w:t>UCIC login validation · six checks, then customer type</w:t>
      </w:r>
    </w:p>
    <w:p>
      <w:r>
        <w:t>Checks run in order and stop at the first failure; only a UCIC that passes all six reaches customer-type identification.</w:t>
      </w:r>
    </w:p>
    <w:p>
      <w:pPr>
        <w:pStyle w:val="Heading2"/>
      </w:pPr>
      <w:r>
        <w:t>5. FR-02 Customer type and data pre-population (URD c, d)</w:t>
      </w:r>
    </w:p>
    <w:p>
      <w:pPr>
        <w:pStyle w:val="Heading3"/>
      </w:pPr>
      <w:r>
        <w:t>5.1 Customer type</w:t>
      </w:r>
    </w:p>
    <w:p>
      <w:r>
        <w:t>After the UCIC clears validation, the customer type is derived from the Fetchcustomer v3 response.</w:t>
      </w:r>
    </w:p>
    <w:tbl>
      <w:tblPr>
        <w:tblStyle w:val="TableGrid"/>
        <w:tblW w:w="0" w:type="auto"/>
        <w:tblLayout w:type="fixed"/>
        <w:tblLook w:val="0420"/>
      </w:tblPr>
      <w:tblGrid>
        <w:gridCol w:w="3120"/>
        <w:gridCol w:w="3120"/>
        <w:gridCol w:w="3120"/>
      </w:tblGrid>
      <w:tr>
        <w:tblPrEx>
          <w:tblW w:w="0" w:type="auto"/>
          <w:tblLayout w:type="fixed"/>
          <w:tblLook w:val="0420"/>
        </w:tblPrEx>
        <w:trPr>
          <w:tblHeader/>
        </w:trPr>
        <w:tc>
          <w:tcPr>
            <w:tcW w:w="3120" w:type="dxa"/>
            <w:shd w:val="clear" w:color="auto" w:fill="F2F2F2"/>
          </w:tcPr>
          <w:p>
            <w:r>
              <w:t>Customer type</w:t>
            </w:r>
          </w:p>
        </w:tc>
        <w:tc>
          <w:tcPr>
            <w:tcW w:w="3120" w:type="dxa"/>
            <w:shd w:val="clear" w:color="auto" w:fill="F2F2F2"/>
          </w:tcPr>
          <w:p>
            <w:r>
              <w:t>EntityFlag</w:t>
            </w:r>
          </w:p>
        </w:tc>
        <w:tc>
          <w:tcPr>
            <w:tcW w:w="3120" w:type="dxa"/>
            <w:shd w:val="clear" w:color="auto" w:fill="F2F2F2"/>
          </w:tcPr>
          <w:p>
            <w:r>
              <w:t>ProductCategoryName</w:t>
            </w:r>
          </w:p>
        </w:tc>
      </w:tr>
      <w:tr>
        <w:tblPrEx>
          <w:tblW w:w="0" w:type="auto"/>
          <w:tblLayout w:type="fixed"/>
          <w:tblLook w:val="0420"/>
        </w:tblPrEx>
        <w:tc>
          <w:tcPr>
            <w:tcW w:w="3120" w:type="dxa"/>
          </w:tcPr>
          <w:p>
            <w:r>
              <w:t>Individual Resident Indian</w:t>
            </w:r>
          </w:p>
        </w:tc>
        <w:tc>
          <w:tcPr>
            <w:tcW w:w="3120" w:type="dxa"/>
          </w:tcPr>
          <w:p>
            <w:r>
              <w:t>"I"</w:t>
            </w:r>
          </w:p>
        </w:tc>
        <w:tc>
          <w:tcPr>
            <w:tcW w:w="3120" w:type="dxa"/>
          </w:tcPr>
          <w:p>
            <w:r>
              <w:t>Not "N" (exact value to be confirmed)</w:t>
            </w:r>
          </w:p>
        </w:tc>
      </w:tr>
      <w:tr>
        <w:tblPrEx>
          <w:tblW w:w="0" w:type="auto"/>
          <w:tblLayout w:type="fixed"/>
          <w:tblLook w:val="0420"/>
        </w:tblPrEx>
        <w:tc>
          <w:tcPr>
            <w:tcW w:w="3120" w:type="dxa"/>
          </w:tcPr>
          <w:p>
            <w:r>
              <w:t>Individual Non Resident Indian</w:t>
            </w:r>
          </w:p>
        </w:tc>
        <w:tc>
          <w:tcPr>
            <w:tcW w:w="3120" w:type="dxa"/>
          </w:tcPr>
          <w:p>
            <w:r>
              <w:t>"I"</w:t>
            </w:r>
          </w:p>
        </w:tc>
        <w:tc>
          <w:tcPr>
            <w:tcW w:w="3120" w:type="dxa"/>
          </w:tcPr>
          <w:p>
            <w:r>
              <w:t>"N"</w:t>
            </w:r>
          </w:p>
        </w:tc>
      </w:tr>
      <w:tr>
        <w:tblPrEx>
          <w:tblW w:w="0" w:type="auto"/>
          <w:tblLayout w:type="fixed"/>
          <w:tblLook w:val="0420"/>
        </w:tblPrEx>
        <w:tc>
          <w:tcPr>
            <w:tcW w:w="3120" w:type="dxa"/>
          </w:tcPr>
          <w:p>
            <w:r>
              <w:t>Non Individual</w:t>
            </w:r>
          </w:p>
        </w:tc>
        <w:tc>
          <w:tcPr>
            <w:tcW w:w="3120" w:type="dxa"/>
          </w:tcPr>
          <w:p>
            <w:r>
              <w:t>Not "I"</w:t>
            </w:r>
          </w:p>
        </w:tc>
        <w:tc>
          <w:tcPr>
            <w:tcW w:w="3120" w:type="dxa"/>
          </w:tcPr>
          <w:p>
            <w:r>
              <w:t>Any</w:t>
            </w:r>
          </w:p>
        </w:tc>
      </w:tr>
    </w:tbl>
    <w:p>
      <w:pPr>
        <w:pStyle w:val="Heading3"/>
      </w:pPr>
      <w:r>
        <w:t>5.2 Fields from Fetchcustomer v3</w:t>
      </w:r>
    </w:p>
    <w:p>
      <w:r>
        <w:t>Proposer fields returned: Name, DOB, Gender, Mobile Number, Email ID, Current address, Permanent address, PAN No., and the Name, DOB and Gender linked to PAN. LI (Life Insured) details are never pre-populated; they are entered directly in the insurer application.</w:t>
      </w:r>
    </w:p>
    <w:p>
      <w:pPr>
        <w:pStyle w:val="Heading3"/>
      </w:pPr>
      <w:r>
        <w:t>5.3 Pre-population and editability</w:t>
      </w:r>
    </w:p>
    <w:tbl>
      <w:tblPr>
        <w:tblStyle w:val="TableGrid"/>
        <w:tblW w:w="0" w:type="auto"/>
        <w:tblLayout w:type="fixed"/>
        <w:tblLook w:val="0420"/>
      </w:tblPr>
      <w:tblGrid>
        <w:gridCol w:w="2340"/>
        <w:gridCol w:w="2340"/>
        <w:gridCol w:w="2340"/>
        <w:gridCol w:w="2340"/>
      </w:tblGrid>
      <w:tr>
        <w:tblPrEx>
          <w:tblW w:w="0" w:type="auto"/>
          <w:tblLayout w:type="fixed"/>
          <w:tblLook w:val="0420"/>
        </w:tblPrEx>
        <w:trPr>
          <w:tblHeader/>
        </w:trPr>
        <w:tc>
          <w:tcPr>
            <w:tcW w:w="2340" w:type="dxa"/>
            <w:shd w:val="clear" w:color="auto" w:fill="F2F2F2"/>
          </w:tcPr>
          <w:p>
            <w:r>
              <w:t>Proposer field</w:t>
            </w:r>
          </w:p>
        </w:tc>
        <w:tc>
          <w:tcPr>
            <w:tcW w:w="2340" w:type="dxa"/>
            <w:shd w:val="clear" w:color="auto" w:fill="F2F2F2"/>
          </w:tcPr>
          <w:p>
            <w:r>
              <w:t>Resident Indian</w:t>
            </w:r>
          </w:p>
        </w:tc>
        <w:tc>
          <w:tcPr>
            <w:tcW w:w="2340" w:type="dxa"/>
            <w:shd w:val="clear" w:color="auto" w:fill="F2F2F2"/>
          </w:tcPr>
          <w:p>
            <w:r>
              <w:t>Non Resident Indian</w:t>
            </w:r>
          </w:p>
        </w:tc>
        <w:tc>
          <w:tcPr>
            <w:tcW w:w="2340" w:type="dxa"/>
            <w:shd w:val="clear" w:color="auto" w:fill="F2F2F2"/>
          </w:tcPr>
          <w:p>
            <w:r>
              <w:t>Non Individual</w:t>
            </w:r>
          </w:p>
        </w:tc>
      </w:tr>
      <w:tr>
        <w:tblPrEx>
          <w:tblW w:w="0" w:type="auto"/>
          <w:tblLayout w:type="fixed"/>
          <w:tblLook w:val="0420"/>
        </w:tblPrEx>
        <w:tc>
          <w:tcPr>
            <w:tcW w:w="2340" w:type="dxa"/>
          </w:tcPr>
          <w:p>
            <w:r>
              <w:t>Name, DOB, Gender</w:t>
            </w:r>
          </w:p>
        </w:tc>
        <w:tc>
          <w:tcPr>
            <w:tcW w:w="2340" w:type="dxa"/>
          </w:tcPr>
          <w:p>
            <w:r>
              <w:t>Pre-filled, locked</w:t>
            </w:r>
          </w:p>
        </w:tc>
        <w:tc>
          <w:tcPr>
            <w:tcW w:w="2340" w:type="dxa"/>
          </w:tcPr>
          <w:p>
            <w:r>
              <w:t>Pre-filled, locked</w:t>
            </w:r>
          </w:p>
        </w:tc>
        <w:tc>
          <w:tcPr>
            <w:tcW w:w="2340" w:type="dxa"/>
          </w:tcPr>
          <w:p>
            <w:r>
              <w:t>Manual entry</w:t>
            </w:r>
          </w:p>
        </w:tc>
      </w:tr>
      <w:tr>
        <w:tblPrEx>
          <w:tblW w:w="0" w:type="auto"/>
          <w:tblLayout w:type="fixed"/>
          <w:tblLook w:val="0420"/>
        </w:tblPrEx>
        <w:tc>
          <w:tcPr>
            <w:tcW w:w="2340" w:type="dxa"/>
          </w:tcPr>
          <w:p>
            <w:r>
              <w:t>PAN No. (and PAN name, DOB, gender)</w:t>
            </w:r>
          </w:p>
        </w:tc>
        <w:tc>
          <w:tcPr>
            <w:tcW w:w="2340" w:type="dxa"/>
          </w:tcPr>
          <w:p>
            <w:r>
              <w:t>Pre-filled, locked</w:t>
            </w:r>
          </w:p>
        </w:tc>
        <w:tc>
          <w:tcPr>
            <w:tcW w:w="2340" w:type="dxa"/>
          </w:tcPr>
          <w:p>
            <w:r>
              <w:t>Pre-filled, locked</w:t>
            </w:r>
          </w:p>
        </w:tc>
        <w:tc>
          <w:tcPr>
            <w:tcW w:w="2340" w:type="dxa"/>
          </w:tcPr>
          <w:p>
            <w:r>
              <w:t>Manual entry</w:t>
            </w:r>
          </w:p>
        </w:tc>
      </w:tr>
      <w:tr>
        <w:tblPrEx>
          <w:tblW w:w="0" w:type="auto"/>
          <w:tblLayout w:type="fixed"/>
          <w:tblLook w:val="0420"/>
        </w:tblPrEx>
        <w:tc>
          <w:tcPr>
            <w:tcW w:w="2340" w:type="dxa"/>
          </w:tcPr>
          <w:p>
            <w:r>
              <w:t>Mobile number</w:t>
            </w:r>
          </w:p>
        </w:tc>
        <w:tc>
          <w:tcPr>
            <w:tcW w:w="2340" w:type="dxa"/>
          </w:tcPr>
          <w:p>
            <w:r>
              <w:t>Pre-filled, locked</w:t>
            </w:r>
          </w:p>
        </w:tc>
        <w:tc>
          <w:tcPr>
            <w:tcW w:w="2340" w:type="dxa"/>
          </w:tcPr>
          <w:p>
            <w:r>
              <w:t>Pre-filled, editable</w:t>
            </w:r>
          </w:p>
        </w:tc>
        <w:tc>
          <w:tcPr>
            <w:tcW w:w="2340" w:type="dxa"/>
          </w:tcPr>
          <w:p>
            <w:r>
              <w:t>Manual entry</w:t>
            </w:r>
          </w:p>
        </w:tc>
      </w:tr>
      <w:tr>
        <w:tblPrEx>
          <w:tblW w:w="0" w:type="auto"/>
          <w:tblLayout w:type="fixed"/>
          <w:tblLook w:val="0420"/>
        </w:tblPrEx>
        <w:tc>
          <w:tcPr>
            <w:tcW w:w="2340" w:type="dxa"/>
          </w:tcPr>
          <w:p>
            <w:r>
              <w:t>Current / permanent address</w:t>
            </w:r>
          </w:p>
        </w:tc>
        <w:tc>
          <w:tcPr>
            <w:tcW w:w="2340" w:type="dxa"/>
          </w:tcPr>
          <w:p>
            <w:r>
              <w:t>Pre-filled, locked</w:t>
            </w:r>
          </w:p>
        </w:tc>
        <w:tc>
          <w:tcPr>
            <w:tcW w:w="2340" w:type="dxa"/>
          </w:tcPr>
          <w:p>
            <w:r>
              <w:t>Pre-filled, editable; address proof mandatory</w:t>
            </w:r>
          </w:p>
        </w:tc>
        <w:tc>
          <w:tcPr>
            <w:tcW w:w="2340" w:type="dxa"/>
          </w:tcPr>
          <w:p>
            <w:r>
              <w:t>Manual entry</w:t>
            </w:r>
          </w:p>
        </w:tc>
      </w:tr>
      <w:tr>
        <w:tblPrEx>
          <w:tblW w:w="0" w:type="auto"/>
          <w:tblLayout w:type="fixed"/>
          <w:tblLook w:val="0420"/>
        </w:tblPrEx>
        <w:tc>
          <w:tcPr>
            <w:tcW w:w="2340" w:type="dxa"/>
          </w:tcPr>
          <w:p>
            <w:r>
              <w:t>Email ID</w:t>
            </w:r>
          </w:p>
        </w:tc>
        <w:tc>
          <w:tcPr>
            <w:tcW w:w="2340" w:type="dxa"/>
          </w:tcPr>
          <w:p>
            <w:r>
              <w:t>Locked if received; editable if blank in API</w:t>
            </w:r>
          </w:p>
        </w:tc>
        <w:tc>
          <w:tcPr>
            <w:tcW w:w="2340" w:type="dxa"/>
          </w:tcPr>
          <w:p>
            <w:r>
              <w:t>Locked if received; editable if blank in API</w:t>
            </w:r>
          </w:p>
        </w:tc>
        <w:tc>
          <w:tcPr>
            <w:tcW w:w="2340" w:type="dxa"/>
          </w:tcPr>
          <w:p>
            <w:r>
              <w:t>Manual entry</w:t>
            </w:r>
          </w:p>
        </w:tc>
      </w:tr>
      <w:tr>
        <w:tblPrEx>
          <w:tblW w:w="0" w:type="auto"/>
          <w:tblLayout w:type="fixed"/>
          <w:tblLook w:val="0420"/>
        </w:tblPrEx>
        <w:tc>
          <w:tcPr>
            <w:tcW w:w="2340" w:type="dxa"/>
          </w:tcPr>
          <w:p>
            <w:r>
              <w:t>Supporting documents</w:t>
            </w:r>
          </w:p>
        </w:tc>
        <w:tc>
          <w:tcPr>
            <w:tcW w:w="2340" w:type="dxa"/>
          </w:tcPr>
          <w:p>
            <w:r>
              <w:t>As per existing journey</w:t>
            </w:r>
          </w:p>
        </w:tc>
        <w:tc>
          <w:tcPr>
            <w:tcW w:w="2340" w:type="dxa"/>
          </w:tcPr>
          <w:p>
            <w:r>
              <w:t>Address proof upload mandatory when address is changed</w:t>
            </w:r>
          </w:p>
        </w:tc>
        <w:tc>
          <w:tcPr>
            <w:tcW w:w="2340" w:type="dxa"/>
          </w:tcPr>
          <w:p>
            <w:r>
              <w:t>All corresponding supporting documents mandatory</w:t>
            </w:r>
          </w:p>
        </w:tc>
      </w:tr>
    </w:tbl>
    <w:p>
      <w:r>
        <w:rPr>
          <w:b/>
        </w:rPr>
        <w:t>Rules</w:t>
      </w:r>
    </w:p>
    <w:p>
      <w:pPr>
        <w:pStyle w:val="ListParagraph"/>
        <w:numPr>
          <w:ilvl w:val="0"/>
          <w:numId w:val="5"/>
        </w:numPr>
      </w:pPr>
      <w:r>
        <w:t>For Non Individual customers, Fetchcustomer v3 is used only for validation (V1–V6); no data is pre-filled.</w:t>
      </w:r>
    </w:p>
    <w:p>
      <w:pPr>
        <w:pStyle w:val="ListParagraph"/>
        <w:numPr>
          <w:ilvl w:val="0"/>
          <w:numId w:val="5"/>
        </w:numPr>
      </w:pPr>
      <w:r>
        <w:t>Locked fields are enforced on the server too; a changed locked value in the save request is rejected.</w:t>
      </w:r>
    </w:p>
    <w:p>
      <w:pPr>
        <w:pStyle w:val="ListParagraph"/>
        <w:numPr>
          <w:ilvl w:val="0"/>
          <w:numId w:val="5"/>
        </w:numPr>
      </w:pPr>
      <w:r>
        <w:t>Original API values are stored alongside any edited values, so MIS and audit show both.</w:t>
      </w:r>
    </w:p>
    <w:p>
      <w:r>
        <w:rPr>
          <w:b/>
        </w:rPr>
        <w:t>Acceptance criteria</w:t>
      </w:r>
    </w:p>
    <w:p>
      <w:pPr>
        <w:pStyle w:val="ListParagraph"/>
        <w:numPr>
          <w:ilvl w:val="0"/>
          <w:numId w:val="6"/>
        </w:numPr>
      </w:pPr>
      <w:r>
        <w:t>☐ Resident: only a blank email can be edited; all other proposer fields are read-only.</w:t>
      </w:r>
    </w:p>
    <w:p>
      <w:pPr>
        <w:pStyle w:val="ListParagraph"/>
        <w:numPr>
          <w:ilvl w:val="0"/>
          <w:numId w:val="6"/>
        </w:numPr>
      </w:pPr>
      <w:r>
        <w:t>☐ NRI: changing the address makes address proof upload mandatory before proceeding.</w:t>
      </w:r>
    </w:p>
    <w:p>
      <w:pPr>
        <w:pStyle w:val="ListParagraph"/>
        <w:numPr>
          <w:ilvl w:val="0"/>
          <w:numId w:val="6"/>
        </w:numPr>
      </w:pPr>
      <w:r>
        <w:t>☐ Non Individual: all proposer fields are empty and editable after validation.</w:t>
      </w:r>
    </w:p>
    <w:p>
      <w:pPr>
        <w:pStyle w:val="ListParagraph"/>
        <w:numPr>
          <w:ilvl w:val="0"/>
          <w:numId w:val="6"/>
        </w:numPr>
      </w:pPr>
      <w:r>
        <w:t>☐ LI section is never pre-filled.</w:t>
      </w:r>
    </w:p>
    <w:p>
      <w:pPr>
        <w:pStyle w:val="Heading2"/>
      </w:pPr>
      <w:r>
        <w:t>6. Other functional requirements</w:t>
      </w:r>
    </w:p>
    <w:p>
      <w:pPr>
        <w:pStyle w:val="Heading3"/>
      </w:pPr>
      <w:r>
        <w:t>6.1 FR-03 City and state mapping (URD e)</w:t>
      </w:r>
    </w:p>
    <w:p>
      <w:pPr>
        <w:pStyle w:val="ListParagraph"/>
        <w:numPr>
          <w:ilvl w:val="0"/>
          <w:numId w:val="7"/>
        </w:numPr>
      </w:pPr>
      <w:r>
        <w:t>From the Equitas response, take only Address 1, Address 2, Address 3, Landmark and Pincode.</w:t>
      </w:r>
    </w:p>
    <w:p>
      <w:pPr>
        <w:pStyle w:val="ListParagraph"/>
        <w:numPr>
          <w:ilvl w:val="0"/>
          <w:numId w:val="7"/>
        </w:numPr>
      </w:pPr>
      <w:r>
        <w:t>City and State are derived from the insurer's own pincode master, not from the bank's values, to avoid value mismatches.</w:t>
      </w:r>
    </w:p>
    <w:p>
      <w:pPr>
        <w:pStyle w:val="ListParagraph"/>
        <w:numPr>
          <w:ilvl w:val="0"/>
          <w:numId w:val="7"/>
        </w:numPr>
      </w:pPr>
      <w:r>
        <w:t>If the pincode is not in the insurer master, the journey shows "Pincode not serviceable / not found" and the user must correct the address (NRI) or raise it for master update (Resident, where address is locked).</w:t>
      </w:r>
    </w:p>
    <w:p>
      <w:pPr>
        <w:pStyle w:val="Heading3"/>
      </w:pPr>
      <w:r>
        <w:t>6.2 FR-04 Credit mapping (URD f)</w:t>
      </w:r>
    </w:p>
    <w:tbl>
      <w:tblPr>
        <w:tblStyle w:val="TableGrid"/>
        <w:tblW w:w="0" w:type="auto"/>
        <w:tblLayout w:type="fixed"/>
        <w:tblLook w:val="0420"/>
      </w:tblPr>
      <w:tblGrid>
        <w:gridCol w:w="2340"/>
        <w:gridCol w:w="2340"/>
        <w:gridCol w:w="2340"/>
        <w:gridCol w:w="2340"/>
      </w:tblGrid>
      <w:tr>
        <w:tblPrEx>
          <w:tblW w:w="0" w:type="auto"/>
          <w:tblLayout w:type="fixed"/>
          <w:tblLook w:val="0420"/>
        </w:tblPrEx>
        <w:trPr>
          <w:tblHeader/>
        </w:trPr>
        <w:tc>
          <w:tcPr>
            <w:tcW w:w="2340" w:type="dxa"/>
            <w:shd w:val="clear" w:color="auto" w:fill="F2F2F2"/>
          </w:tcPr>
          <w:p>
            <w:r>
              <w:t>Field</w:t>
            </w:r>
          </w:p>
        </w:tc>
        <w:tc>
          <w:tcPr>
            <w:tcW w:w="2340" w:type="dxa"/>
            <w:shd w:val="clear" w:color="auto" w:fill="F2F2F2"/>
          </w:tcPr>
          <w:p>
            <w:r>
              <w:t>Source</w:t>
            </w:r>
          </w:p>
        </w:tc>
        <w:tc>
          <w:tcPr>
            <w:tcW w:w="2340" w:type="dxa"/>
            <w:shd w:val="clear" w:color="auto" w:fill="F2F2F2"/>
          </w:tcPr>
          <w:p>
            <w:r>
              <w:t>Editable</w:t>
            </w:r>
          </w:p>
        </w:tc>
        <w:tc>
          <w:tcPr>
            <w:tcW w:w="2340" w:type="dxa"/>
            <w:shd w:val="clear" w:color="auto" w:fill="F2F2F2"/>
          </w:tcPr>
          <w:p>
            <w:r>
              <w:t>In final MIS</w:t>
            </w:r>
          </w:p>
        </w:tc>
      </w:tr>
      <w:tr>
        <w:tblPrEx>
          <w:tblW w:w="0" w:type="auto"/>
          <w:tblLayout w:type="fixed"/>
          <w:tblLook w:val="0420"/>
        </w:tblPrEx>
        <w:tc>
          <w:tcPr>
            <w:tcW w:w="2340" w:type="dxa"/>
          </w:tcPr>
          <w:p>
            <w:r>
              <w:t>UCIC</w:t>
            </w:r>
          </w:p>
        </w:tc>
        <w:tc>
          <w:tcPr>
            <w:tcW w:w="2340" w:type="dxa"/>
          </w:tcPr>
          <w:p>
            <w:r>
              <w:t>Entered by user at the first step</w:t>
            </w:r>
          </w:p>
        </w:tc>
        <w:tc>
          <w:tcPr>
            <w:tcW w:w="2340" w:type="dxa"/>
          </w:tcPr>
          <w:p>
            <w:r>
              <w:t>No, after validation</w:t>
            </w:r>
          </w:p>
        </w:tc>
        <w:tc>
          <w:tcPr>
            <w:tcW w:w="2340" w:type="dxa"/>
          </w:tcPr>
          <w:p>
            <w:r>
              <w:t>Yes</w:t>
            </w:r>
          </w:p>
        </w:tc>
      </w:tr>
      <w:tr>
        <w:tblPrEx>
          <w:tblW w:w="0" w:type="auto"/>
          <w:tblLayout w:type="fixed"/>
          <w:tblLook w:val="0420"/>
        </w:tblPrEx>
        <w:tc>
          <w:tcPr>
            <w:tcW w:w="2340" w:type="dxa"/>
          </w:tcPr>
          <w:p>
            <w:r>
              <w:t>LG code</w:t>
            </w:r>
          </w:p>
        </w:tc>
        <w:tc>
          <w:tcPr>
            <w:tcW w:w="2340" w:type="dxa"/>
          </w:tcPr>
          <w:p>
            <w:r>
              <w:t>Entered by user: Equitas sales employee code of the Lead Generator</w:t>
            </w:r>
          </w:p>
        </w:tc>
        <w:tc>
          <w:tcPr>
            <w:tcW w:w="2340" w:type="dxa"/>
          </w:tcPr>
          <w:p>
            <w:r>
              <w:t>Yes, mandatory</w:t>
            </w:r>
          </w:p>
        </w:tc>
        <w:tc>
          <w:tcPr>
            <w:tcW w:w="2340" w:type="dxa"/>
          </w:tcPr>
          <w:p>
            <w:r>
              <w:t>Yes</w:t>
            </w:r>
          </w:p>
        </w:tc>
      </w:tr>
      <w:tr>
        <w:tblPrEx>
          <w:tblW w:w="0" w:type="auto"/>
          <w:tblLayout w:type="fixed"/>
          <w:tblLook w:val="0420"/>
        </w:tblPrEx>
        <w:tc>
          <w:tcPr>
            <w:tcW w:w="2340" w:type="dxa"/>
          </w:tcPr>
          <w:p>
            <w:r>
              <w:t>SP code</w:t>
            </w:r>
          </w:p>
        </w:tc>
        <w:tc>
          <w:tcPr>
            <w:tcW w:w="2340" w:type="dxa"/>
          </w:tcPr>
          <w:p>
            <w:r>
              <w:t>Latest SR in Fetchcustomer v3 response</w:t>
            </w:r>
          </w:p>
        </w:tc>
        <w:tc>
          <w:tcPr>
            <w:tcW w:w="2340" w:type="dxa"/>
          </w:tcPr>
          <w:p>
            <w:r>
              <w:t>No (frozen)</w:t>
            </w:r>
          </w:p>
        </w:tc>
        <w:tc>
          <w:tcPr>
            <w:tcW w:w="2340" w:type="dxa"/>
          </w:tcPr>
          <w:p>
            <w:r>
              <w:t>Yes</w:t>
            </w:r>
          </w:p>
        </w:tc>
      </w:tr>
      <w:tr>
        <w:tblPrEx>
          <w:tblW w:w="0" w:type="auto"/>
          <w:tblLayout w:type="fixed"/>
          <w:tblLook w:val="0420"/>
        </w:tblPrEx>
        <w:tc>
          <w:tcPr>
            <w:tcW w:w="2340" w:type="dxa"/>
          </w:tcPr>
          <w:p>
            <w:r>
              <w:t>Sol ID (Branch ID)</w:t>
            </w:r>
          </w:p>
        </w:tc>
        <w:tc>
          <w:tcPr>
            <w:tcW w:w="2340" w:type="dxa"/>
          </w:tcPr>
          <w:p>
            <w:r>
              <w:t>Branch mapped to the SP code</w:t>
            </w:r>
          </w:p>
        </w:tc>
        <w:tc>
          <w:tcPr>
            <w:tcW w:w="2340" w:type="dxa"/>
          </w:tcPr>
          <w:p>
            <w:r>
              <w:t>No</w:t>
            </w:r>
          </w:p>
        </w:tc>
        <w:tc>
          <w:tcPr>
            <w:tcW w:w="2340" w:type="dxa"/>
          </w:tcPr>
          <w:p>
            <w:r>
              <w:t>Yes, in Sol ID column</w:t>
            </w:r>
          </w:p>
        </w:tc>
      </w:tr>
    </w:tbl>
    <w:p>
      <w:r>
        <w:rPr>
          <w:b/>
        </w:rPr>
        <w:t>Acceptance criteria</w:t>
      </w:r>
    </w:p>
    <w:p>
      <w:pPr>
        <w:pStyle w:val="ListParagraph"/>
        <w:numPr>
          <w:ilvl w:val="0"/>
          <w:numId w:val="8"/>
        </w:numPr>
      </w:pPr>
      <w:r>
        <w:t>☐ Every login record holds UCIC, LG code, SP code and Sol ID.</w:t>
      </w:r>
    </w:p>
    <w:p>
      <w:pPr>
        <w:pStyle w:val="ListParagraph"/>
        <w:numPr>
          <w:ilvl w:val="0"/>
          <w:numId w:val="8"/>
        </w:numPr>
      </w:pPr>
      <w:r>
        <w:t>☐ SP code and Sol ID cannot be changed by the user.</w:t>
      </w:r>
    </w:p>
    <w:p>
      <w:pPr>
        <w:pStyle w:val="Heading3"/>
      </w:pPr>
      <w:r>
        <w:t>6.3 FR-05 Payment modes (URD h)</w:t>
      </w:r>
    </w:p>
    <w:tbl>
      <w:tblPr>
        <w:tblStyle w:val="TableGrid"/>
        <w:tblW w:w="0" w:type="auto"/>
        <w:tblLayout w:type="fixed"/>
        <w:tblLook w:val="0420"/>
      </w:tblPr>
      <w:tblGrid>
        <w:gridCol w:w="4680"/>
        <w:gridCol w:w="4680"/>
      </w:tblGrid>
      <w:tr>
        <w:tblPrEx>
          <w:tblW w:w="0" w:type="auto"/>
          <w:tblLayout w:type="fixed"/>
          <w:tblLook w:val="0420"/>
        </w:tblPrEx>
        <w:trPr>
          <w:tblHeader/>
        </w:trPr>
        <w:tc>
          <w:tcPr>
            <w:tcW w:w="4680" w:type="dxa"/>
            <w:shd w:val="clear" w:color="auto" w:fill="F2F2F2"/>
          </w:tcPr>
          <w:p>
            <w:r>
              <w:t>Payment mode</w:t>
            </w:r>
          </w:p>
        </w:tc>
        <w:tc>
          <w:tcPr>
            <w:tcW w:w="4680" w:type="dxa"/>
            <w:shd w:val="clear" w:color="auto" w:fill="F2F2F2"/>
          </w:tcPr>
          <w:p>
            <w:r>
              <w:t>Allowed</w:t>
            </w:r>
          </w:p>
        </w:tc>
      </w:tr>
      <w:tr>
        <w:tblPrEx>
          <w:tblW w:w="0" w:type="auto"/>
          <w:tblLayout w:type="fixed"/>
          <w:tblLook w:val="0420"/>
        </w:tblPrEx>
        <w:tc>
          <w:tcPr>
            <w:tcW w:w="4680" w:type="dxa"/>
          </w:tcPr>
          <w:p>
            <w:r>
              <w:t>Cheque</w:t>
            </w:r>
          </w:p>
        </w:tc>
        <w:tc>
          <w:tcPr>
            <w:tcW w:w="4680" w:type="dxa"/>
          </w:tcPr>
          <w:p>
            <w:r>
              <w:t>Yes</w:t>
            </w:r>
          </w:p>
        </w:tc>
      </w:tr>
      <w:tr>
        <w:tblPrEx>
          <w:tblW w:w="0" w:type="auto"/>
          <w:tblLayout w:type="fixed"/>
          <w:tblLook w:val="0420"/>
        </w:tblPrEx>
        <w:tc>
          <w:tcPr>
            <w:tcW w:w="4680" w:type="dxa"/>
          </w:tcPr>
          <w:p>
            <w:r>
              <w:t>Debit card</w:t>
            </w:r>
          </w:p>
        </w:tc>
        <w:tc>
          <w:tcPr>
            <w:tcW w:w="4680" w:type="dxa"/>
          </w:tcPr>
          <w:p>
            <w:r>
              <w:t>Yes</w:t>
            </w:r>
          </w:p>
        </w:tc>
      </w:tr>
      <w:tr>
        <w:tblPrEx>
          <w:tblW w:w="0" w:type="auto"/>
          <w:tblLayout w:type="fixed"/>
          <w:tblLook w:val="0420"/>
        </w:tblPrEx>
        <w:tc>
          <w:tcPr>
            <w:tcW w:w="4680" w:type="dxa"/>
          </w:tcPr>
          <w:p>
            <w:r>
              <w:t>Credit card</w:t>
            </w:r>
          </w:p>
        </w:tc>
        <w:tc>
          <w:tcPr>
            <w:tcW w:w="4680" w:type="dxa"/>
          </w:tcPr>
          <w:p>
            <w:r>
              <w:t>Yes</w:t>
            </w:r>
          </w:p>
        </w:tc>
      </w:tr>
      <w:tr>
        <w:tblPrEx>
          <w:tblW w:w="0" w:type="auto"/>
          <w:tblLayout w:type="fixed"/>
          <w:tblLook w:val="0420"/>
        </w:tblPrEx>
        <w:tc>
          <w:tcPr>
            <w:tcW w:w="4680" w:type="dxa"/>
          </w:tcPr>
          <w:p>
            <w:r>
              <w:t>UPI</w:t>
            </w:r>
          </w:p>
        </w:tc>
        <w:tc>
          <w:tcPr>
            <w:tcW w:w="4680" w:type="dxa"/>
          </w:tcPr>
          <w:p>
            <w:r>
              <w:t>Yes</w:t>
            </w:r>
          </w:p>
        </w:tc>
      </w:tr>
      <w:tr>
        <w:tblPrEx>
          <w:tblW w:w="0" w:type="auto"/>
          <w:tblLayout w:type="fixed"/>
          <w:tblLook w:val="0420"/>
        </w:tblPrEx>
        <w:tc>
          <w:tcPr>
            <w:tcW w:w="4680" w:type="dxa"/>
          </w:tcPr>
          <w:p>
            <w:r>
              <w:t>Net banking</w:t>
            </w:r>
          </w:p>
        </w:tc>
        <w:tc>
          <w:tcPr>
            <w:tcW w:w="4680" w:type="dxa"/>
          </w:tcPr>
          <w:p>
            <w:r>
              <w:t>Yes</w:t>
            </w:r>
          </w:p>
        </w:tc>
      </w:tr>
      <w:tr>
        <w:tblPrEx>
          <w:tblW w:w="0" w:type="auto"/>
          <w:tblLayout w:type="fixed"/>
          <w:tblLook w:val="0420"/>
        </w:tblPrEx>
        <w:tc>
          <w:tcPr>
            <w:tcW w:w="4680" w:type="dxa"/>
          </w:tcPr>
          <w:p>
            <w:r>
              <w:t>BASBA</w:t>
            </w:r>
          </w:p>
        </w:tc>
        <w:tc>
          <w:tcPr>
            <w:tcW w:w="4680" w:type="dxa"/>
          </w:tcPr>
          <w:p>
            <w:r>
              <w:t>Yes</w:t>
            </w:r>
          </w:p>
        </w:tc>
      </w:tr>
      <w:tr>
        <w:tblPrEx>
          <w:tblW w:w="0" w:type="auto"/>
          <w:tblLayout w:type="fixed"/>
          <w:tblLook w:val="0420"/>
        </w:tblPrEx>
        <w:tc>
          <w:tcPr>
            <w:tcW w:w="4680" w:type="dxa"/>
          </w:tcPr>
          <w:p>
            <w:r>
              <w:t>Any other digital payment method</w:t>
            </w:r>
          </w:p>
        </w:tc>
        <w:tc>
          <w:tcPr>
            <w:tcW w:w="4680" w:type="dxa"/>
          </w:tcPr>
          <w:p>
            <w:r>
              <w:t>Yes</w:t>
            </w:r>
          </w:p>
        </w:tc>
      </w:tr>
      <w:tr>
        <w:tblPrEx>
          <w:tblW w:w="0" w:type="auto"/>
          <w:tblLayout w:type="fixed"/>
          <w:tblLook w:val="0420"/>
        </w:tblPrEx>
        <w:tc>
          <w:tcPr>
            <w:tcW w:w="4680" w:type="dxa"/>
          </w:tcPr>
          <w:p>
            <w:r>
              <w:t>Demand Draft (DD)</w:t>
            </w:r>
          </w:p>
        </w:tc>
        <w:tc>
          <w:tcPr>
            <w:tcW w:w="4680" w:type="dxa"/>
          </w:tcPr>
          <w:p>
            <w:r>
              <w:rPr>
                <w:b/>
              </w:rPr>
              <w:t>No – hidden for Equitas logins</w:t>
            </w:r>
          </w:p>
        </w:tc>
      </w:tr>
    </w:tbl>
    <w:p>
      <w:pPr>
        <w:pStyle w:val="Heading3"/>
      </w:pPr>
      <w:r>
        <w:t>6.4 FR-06 Equitas suitability, optional (URD i)</w:t>
      </w:r>
    </w:p>
    <w:p>
      <w:pPr>
        <w:pStyle w:val="ListParagraph"/>
        <w:numPr>
          <w:ilvl w:val="0"/>
          <w:numId w:val="9"/>
        </w:numPr>
      </w:pPr>
      <w:r>
        <w:t>If the insurer chooses to waive its own suitability and use Equitas suitability, the system takes the document ID from the latest SR in the SR list.</w:t>
      </w:r>
    </w:p>
    <w:p>
      <w:pPr>
        <w:pStyle w:val="ListParagraph"/>
        <w:numPr>
          <w:ilvl w:val="0"/>
          <w:numId w:val="9"/>
        </w:numPr>
      </w:pPr>
      <w:r>
        <w:t>It calls the Equitas Download Doc API with that document ID and stores the returned suitability document against the proposal.</w:t>
      </w:r>
    </w:p>
    <w:p>
      <w:pPr>
        <w:pStyle w:val="ListParagraph"/>
        <w:numPr>
          <w:ilvl w:val="0"/>
          <w:numId w:val="9"/>
        </w:numPr>
      </w:pPr>
      <w:r>
        <w:t>The waiver is controlled by a configuration flag, so it can be switched on or off without a release.</w:t>
      </w:r>
    </w:p>
    <w:p>
      <w:pPr>
        <w:pStyle w:val="ListParagraph"/>
        <w:numPr>
          <w:ilvl w:val="0"/>
          <w:numId w:val="9"/>
        </w:numPr>
      </w:pPr>
      <w:r>
        <w:t>If the download fails, the insurer's own suitability flow is shown (fallback).</w:t>
      </w:r>
    </w:p>
    <w:p>
      <w:pPr>
        <w:pStyle w:val="Heading3"/>
      </w:pPr>
      <w:r>
        <w:t>6.5 FR-07 Consolidated MIS (URD j)</w:t>
      </w:r>
    </w:p>
    <w:p>
      <w:pPr>
        <w:pStyle w:val="ListParagraph"/>
        <w:numPr>
          <w:ilvl w:val="0"/>
          <w:numId w:val="10"/>
        </w:numPr>
      </w:pPr>
      <w:r>
        <w:t>MIS includes logins from both the ENVI platform and direct insurer-application logins, in one report.</w:t>
      </w:r>
    </w:p>
    <w:p>
      <w:pPr>
        <w:pStyle w:val="ListParagraph"/>
        <w:numPr>
          <w:ilvl w:val="0"/>
          <w:numId w:val="10"/>
        </w:numPr>
      </w:pPr>
      <w:r>
        <w:t xml:space="preserve">A </w:t>
      </w:r>
      <w:r>
        <w:rPr>
          <w:rStyle w:val="CodeChar"/>
        </w:rPr>
        <w:t>loginSource</w:t>
      </w:r>
      <w:r>
        <w:t xml:space="preserve"> column (ENVI / DIRECT) identifies the channel.</w:t>
      </w:r>
    </w:p>
    <w:p>
      <w:pPr>
        <w:pStyle w:val="ListParagraph"/>
        <w:numPr>
          <w:ilvl w:val="0"/>
          <w:numId w:val="10"/>
        </w:numPr>
      </w:pPr>
      <w:r>
        <w:t>All fields in the separate back-office requirement are included, plus UCIC, LG code, SP code and Sol ID.</w:t>
      </w:r>
    </w:p>
    <w:p>
      <w:pPr>
        <w:pStyle w:val="Heading3"/>
      </w:pPr>
      <w:r>
        <w:t>6.6 FR-08 Products enabled for the journey</w:t>
      </w:r>
    </w:p>
    <w:tbl>
      <w:tblPr>
        <w:tblStyle w:val="TableGrid"/>
        <w:tblW w:w="0" w:type="auto"/>
        <w:tblLayout w:type="fixed"/>
        <w:tblLook w:val="0420"/>
      </w:tblPr>
      <w:tblGrid>
        <w:gridCol w:w="3120"/>
        <w:gridCol w:w="3120"/>
        <w:gridCol w:w="3120"/>
      </w:tblGrid>
      <w:tr>
        <w:tblPrEx>
          <w:tblW w:w="0" w:type="auto"/>
          <w:tblLayout w:type="fixed"/>
          <w:tblLook w:val="0420"/>
        </w:tblPrEx>
        <w:trPr>
          <w:tblHeader/>
        </w:trPr>
        <w:tc>
          <w:tcPr>
            <w:tcW w:w="3120" w:type="dxa"/>
            <w:shd w:val="clear" w:color="auto" w:fill="F2F2F2"/>
          </w:tcPr>
          <w:p>
            <w:r>
              <w:t>#</w:t>
            </w:r>
          </w:p>
        </w:tc>
        <w:tc>
          <w:tcPr>
            <w:tcW w:w="3120" w:type="dxa"/>
            <w:shd w:val="clear" w:color="auto" w:fill="F2F2F2"/>
          </w:tcPr>
          <w:p>
            <w:r>
              <w:t>Product code</w:t>
            </w:r>
          </w:p>
        </w:tc>
        <w:tc>
          <w:tcPr>
            <w:tcW w:w="3120" w:type="dxa"/>
            <w:shd w:val="clear" w:color="auto" w:fill="F2F2F2"/>
          </w:tcPr>
          <w:p>
            <w:r>
              <w:t>Product name</w:t>
            </w:r>
          </w:p>
        </w:tc>
      </w:tr>
      <w:tr>
        <w:tblPrEx>
          <w:tblW w:w="0" w:type="auto"/>
          <w:tblLayout w:type="fixed"/>
          <w:tblLook w:val="0420"/>
        </w:tblPrEx>
        <w:tc>
          <w:tcPr>
            <w:tcW w:w="3120" w:type="dxa"/>
          </w:tcPr>
          <w:p>
            <w:r>
              <w:t>1</w:t>
            </w:r>
          </w:p>
        </w:tc>
        <w:tc>
          <w:tcPr>
            <w:tcW w:w="3120" w:type="dxa"/>
          </w:tcPr>
          <w:p>
            <w:r>
              <w:t>IXPTM</w:t>
            </w:r>
          </w:p>
        </w:tc>
        <w:tc>
          <w:tcPr>
            <w:tcW w:w="3120" w:type="dxa"/>
          </w:tcPr>
          <w:p>
            <w:r>
              <w:t>Canara HSBC Life Insurance Young Term Plan</w:t>
            </w:r>
          </w:p>
        </w:tc>
      </w:tr>
      <w:tr>
        <w:tblPrEx>
          <w:tblW w:w="0" w:type="auto"/>
          <w:tblLayout w:type="fixed"/>
          <w:tblLook w:val="0420"/>
        </w:tblPrEx>
        <w:tc>
          <w:tcPr>
            <w:tcW w:w="3120" w:type="dxa"/>
          </w:tcPr>
          <w:p>
            <w:r>
              <w:t>2</w:t>
            </w:r>
          </w:p>
        </w:tc>
        <w:tc>
          <w:tcPr>
            <w:tcW w:w="3120" w:type="dxa"/>
          </w:tcPr>
          <w:p>
            <w:r>
              <w:t>IG2PT</w:t>
            </w:r>
          </w:p>
        </w:tc>
        <w:tc>
          <w:tcPr>
            <w:tcW w:w="3120" w:type="dxa"/>
          </w:tcPr>
          <w:p>
            <w:r>
              <w:t>Canara HSBC Life Insurance iSelect Guaranteed Future Plus</w:t>
            </w:r>
          </w:p>
        </w:tc>
      </w:tr>
      <w:tr>
        <w:tblPrEx>
          <w:tblW w:w="0" w:type="auto"/>
          <w:tblLayout w:type="fixed"/>
          <w:tblLook w:val="0420"/>
        </w:tblPrEx>
        <w:tc>
          <w:tcPr>
            <w:tcW w:w="3120" w:type="dxa"/>
          </w:tcPr>
          <w:p>
            <w:r>
              <w:t>3</w:t>
            </w:r>
          </w:p>
        </w:tc>
        <w:tc>
          <w:tcPr>
            <w:tcW w:w="3120" w:type="dxa"/>
          </w:tcPr>
          <w:p>
            <w:r>
              <w:t>GA3TP</w:t>
            </w:r>
          </w:p>
        </w:tc>
        <w:tc>
          <w:tcPr>
            <w:tcW w:w="3120" w:type="dxa"/>
          </w:tcPr>
          <w:p>
            <w:r>
              <w:t>Canara HSBC Life Insurance Guaranteed Assured Income Plan (GAIN)</w:t>
            </w:r>
          </w:p>
        </w:tc>
      </w:tr>
      <w:tr>
        <w:tblPrEx>
          <w:tblW w:w="0" w:type="auto"/>
          <w:tblLayout w:type="fixed"/>
          <w:tblLook w:val="0420"/>
        </w:tblPrEx>
        <w:tc>
          <w:tcPr>
            <w:tcW w:w="3120" w:type="dxa"/>
          </w:tcPr>
          <w:p>
            <w:r>
              <w:t>4</w:t>
            </w:r>
          </w:p>
        </w:tc>
        <w:tc>
          <w:tcPr>
            <w:tcW w:w="3120" w:type="dxa"/>
          </w:tcPr>
          <w:p>
            <w:r>
              <w:t>PFFTA</w:t>
            </w:r>
          </w:p>
        </w:tc>
        <w:tc>
          <w:tcPr>
            <w:tcW w:w="3120" w:type="dxa"/>
          </w:tcPr>
          <w:p>
            <w:r>
              <w:t>Canara HSBC Life Insurance Promise4Future</w:t>
            </w:r>
          </w:p>
        </w:tc>
      </w:tr>
      <w:tr>
        <w:tblPrEx>
          <w:tblW w:w="0" w:type="auto"/>
          <w:tblLayout w:type="fixed"/>
          <w:tblLook w:val="0420"/>
        </w:tblPrEx>
        <w:tc>
          <w:tcPr>
            <w:tcW w:w="3120" w:type="dxa"/>
          </w:tcPr>
          <w:p>
            <w:r>
              <w:t>5</w:t>
            </w:r>
          </w:p>
        </w:tc>
        <w:tc>
          <w:tcPr>
            <w:tcW w:w="3120" w:type="dxa"/>
          </w:tcPr>
          <w:p>
            <w:r>
              <w:t>PFLTR</w:t>
            </w:r>
          </w:p>
        </w:tc>
        <w:tc>
          <w:tcPr>
            <w:tcW w:w="3120" w:type="dxa"/>
          </w:tcPr>
          <w:p>
            <w:r>
              <w:t>Canara HSBC Life Insurance Promise4Life</w:t>
            </w:r>
          </w:p>
        </w:tc>
      </w:tr>
      <w:tr>
        <w:tblPrEx>
          <w:tblW w:w="0" w:type="auto"/>
          <w:tblLayout w:type="fixed"/>
          <w:tblLook w:val="0420"/>
        </w:tblPrEx>
        <w:tc>
          <w:tcPr>
            <w:tcW w:w="3120" w:type="dxa"/>
          </w:tcPr>
          <w:p>
            <w:r>
              <w:t>6</w:t>
            </w:r>
          </w:p>
        </w:tc>
        <w:tc>
          <w:tcPr>
            <w:tcW w:w="3120" w:type="dxa"/>
          </w:tcPr>
          <w:p>
            <w:r>
              <w:t>ULP3P</w:t>
            </w:r>
          </w:p>
        </w:tc>
        <w:tc>
          <w:tcPr>
            <w:tcW w:w="3120" w:type="dxa"/>
          </w:tcPr>
          <w:p>
            <w:r>
              <w:t>Canara HSBC Life Insurance Secure Invest</w:t>
            </w:r>
          </w:p>
        </w:tc>
      </w:tr>
      <w:tr>
        <w:tblPrEx>
          <w:tblW w:w="0" w:type="auto"/>
          <w:tblLayout w:type="fixed"/>
          <w:tblLook w:val="0420"/>
        </w:tblPrEx>
        <w:tc>
          <w:tcPr>
            <w:tcW w:w="3120" w:type="dxa"/>
          </w:tcPr>
          <w:p>
            <w:r>
              <w:t>7</w:t>
            </w:r>
          </w:p>
        </w:tc>
        <w:tc>
          <w:tcPr>
            <w:tcW w:w="3120" w:type="dxa"/>
          </w:tcPr>
          <w:p>
            <w:r>
              <w:t>ULT3F</w:t>
            </w:r>
          </w:p>
        </w:tc>
        <w:tc>
          <w:tcPr>
            <w:tcW w:w="3120" w:type="dxa"/>
          </w:tcPr>
          <w:p>
            <w:r>
              <w:t>Canara HSBC Life Insurance Wealth Edge</w:t>
            </w:r>
          </w:p>
        </w:tc>
      </w:tr>
      <w:tr>
        <w:tblPrEx>
          <w:tblW w:w="0" w:type="auto"/>
          <w:tblLayout w:type="fixed"/>
          <w:tblLook w:val="0420"/>
        </w:tblPrEx>
        <w:tc>
          <w:tcPr>
            <w:tcW w:w="3120" w:type="dxa"/>
          </w:tcPr>
          <w:p>
            <w:r>
              <w:t>8</w:t>
            </w:r>
          </w:p>
        </w:tc>
        <w:tc>
          <w:tcPr>
            <w:tcW w:w="3120" w:type="dxa"/>
          </w:tcPr>
          <w:p>
            <w:r>
              <w:t>SGP2IA</w:t>
            </w:r>
          </w:p>
        </w:tc>
        <w:tc>
          <w:tcPr>
            <w:tcW w:w="3120" w:type="dxa"/>
          </w:tcPr>
          <w:p>
            <w:r>
              <w:t>Canara HSBC Life Insurance Smart Guaranteed Pension</w:t>
            </w:r>
          </w:p>
        </w:tc>
      </w:tr>
      <w:tr>
        <w:tblPrEx>
          <w:tblW w:w="0" w:type="auto"/>
          <w:tblLayout w:type="fixed"/>
          <w:tblLook w:val="0420"/>
        </w:tblPrEx>
        <w:tc>
          <w:tcPr>
            <w:tcW w:w="3120" w:type="dxa"/>
          </w:tcPr>
          <w:p>
            <w:r>
              <w:t>9</w:t>
            </w:r>
          </w:p>
        </w:tc>
        <w:tc>
          <w:tcPr>
            <w:tcW w:w="3120" w:type="dxa"/>
          </w:tcPr>
          <w:p>
            <w:r>
              <w:t>To be confirmed</w:t>
            </w:r>
          </w:p>
        </w:tc>
        <w:tc>
          <w:tcPr>
            <w:tcW w:w="3120" w:type="dxa"/>
          </w:tcPr>
          <w:p>
            <w:r>
              <w:t>Canara HSBC Life Insurance Pension4Life</w:t>
            </w:r>
          </w:p>
        </w:tc>
      </w:tr>
    </w:tbl>
    <w:p>
      <w:r>
        <w:t>The product list is held as configuration; the latest SR's product code must match one of these for login to proceed.</w:t>
      </w:r>
    </w:p>
    <w:p>
      <w:pPr>
        <w:pStyle w:val="Heading2"/>
      </w:pPr>
      <w:r>
        <w:t>7. Technical design (MERN)</w:t>
      </w:r>
    </w:p>
    <w:p>
      <w:r>
        <w:t>A Node.js Equitas adapter calls the bank APIs, a rule engine applies V1–V6 from configuration, and one MongoDB login record carries customer data, frozen codes and credit fields through to MIS.</w:t>
      </w:r>
    </w:p>
    <w:p>
      <w:pPr>
        <w:pStyle w:val="Heading3"/>
      </w:pPr>
      <w:r>
        <w:t>7.1 MongoDB collections</w:t>
      </w:r>
    </w:p>
    <w:tbl>
      <w:tblPr>
        <w:tblStyle w:val="TableGrid"/>
        <w:tblW w:w="0" w:type="auto"/>
        <w:tblLayout w:type="fixed"/>
        <w:tblLook w:val="0420"/>
      </w:tblPr>
      <w:tblGrid>
        <w:gridCol w:w="3120"/>
        <w:gridCol w:w="3120"/>
        <w:gridCol w:w="3120"/>
      </w:tblGrid>
      <w:tr>
        <w:tblPrEx>
          <w:tblW w:w="0" w:type="auto"/>
          <w:tblLayout w:type="fixed"/>
          <w:tblLook w:val="0420"/>
        </w:tblPrEx>
        <w:trPr>
          <w:tblHeader/>
        </w:trPr>
        <w:tc>
          <w:tcPr>
            <w:tcW w:w="3120" w:type="dxa"/>
            <w:shd w:val="clear" w:color="auto" w:fill="F2F2F2"/>
          </w:tcPr>
          <w:p>
            <w:r>
              <w:t>Collection</w:t>
            </w:r>
          </w:p>
        </w:tc>
        <w:tc>
          <w:tcPr>
            <w:tcW w:w="3120" w:type="dxa"/>
            <w:shd w:val="clear" w:color="auto" w:fill="F2F2F2"/>
          </w:tcPr>
          <w:p>
            <w:r>
              <w:t>Purpose</w:t>
            </w:r>
          </w:p>
        </w:tc>
        <w:tc>
          <w:tcPr>
            <w:tcW w:w="3120" w:type="dxa"/>
            <w:shd w:val="clear" w:color="auto" w:fill="F2F2F2"/>
          </w:tcPr>
          <w:p>
            <w:r>
              <w:t>Key fields</w:t>
            </w:r>
          </w:p>
        </w:tc>
      </w:tr>
      <w:tr>
        <w:tblPrEx>
          <w:tblW w:w="0" w:type="auto"/>
          <w:tblLayout w:type="fixed"/>
          <w:tblLook w:val="0420"/>
        </w:tblPrEx>
        <w:tc>
          <w:tcPr>
            <w:tcW w:w="3120" w:type="dxa"/>
          </w:tcPr>
          <w:p>
            <w:r>
              <w:rPr>
                <w:rStyle w:val="CodeChar"/>
              </w:rPr>
              <w:t>equitas_logins</w:t>
            </w:r>
          </w:p>
        </w:tc>
        <w:tc>
          <w:tcPr>
            <w:tcW w:w="3120" w:type="dxa"/>
          </w:tcPr>
          <w:p>
            <w:r>
              <w:t>One record per login attempt and session</w:t>
            </w:r>
          </w:p>
        </w:tc>
        <w:tc>
          <w:tcPr>
            <w:tcW w:w="3120" w:type="dxa"/>
          </w:tcPr>
          <w:p>
            <w:r>
              <w:rPr>
                <w:rStyle w:val="CodeChar"/>
              </w:rPr>
              <w:t>ucic</w:t>
            </w:r>
            <w:r>
              <w:t xml:space="preserve">, </w:t>
            </w:r>
            <w:r>
              <w:rPr>
                <w:rStyle w:val="CodeChar"/>
              </w:rPr>
              <w:t>validationStatus</w:t>
            </w:r>
            <w:r>
              <w:t xml:space="preserve"> (PASS / BLOCKED), </w:t>
            </w:r>
            <w:r>
              <w:rPr>
                <w:rStyle w:val="CodeChar"/>
              </w:rPr>
              <w:t>failedCheck</w:t>
            </w:r>
            <w:r>
              <w:t xml:space="preserve"> (V1–V6), </w:t>
            </w:r>
            <w:r>
              <w:rPr>
                <w:rStyle w:val="CodeChar"/>
              </w:rPr>
              <w:t>customerType</w:t>
            </w:r>
            <w:r>
              <w:t xml:space="preserve">, </w:t>
            </w:r>
            <w:r>
              <w:rPr>
                <w:rStyle w:val="CodeChar"/>
              </w:rPr>
              <w:t>latestSr{srNo, srDate, status, productCode, spCode, documentId}</w:t>
            </w:r>
            <w:r>
              <w:t xml:space="preserve">, </w:t>
            </w:r>
            <w:r>
              <w:rPr>
                <w:rStyle w:val="CodeChar"/>
              </w:rPr>
              <w:t>solId</w:t>
            </w:r>
            <w:r>
              <w:t xml:space="preserve">, </w:t>
            </w:r>
            <w:r>
              <w:rPr>
                <w:rStyle w:val="CodeChar"/>
              </w:rPr>
              <w:t>lgCode</w:t>
            </w:r>
            <w:r>
              <w:t xml:space="preserve">, </w:t>
            </w:r>
            <w:r>
              <w:rPr>
                <w:rStyle w:val="CodeChar"/>
              </w:rPr>
              <w:t>loginSource</w:t>
            </w:r>
            <w:r>
              <w:t xml:space="preserve">, </w:t>
            </w:r>
            <w:r>
              <w:rPr>
                <w:rStyle w:val="CodeChar"/>
              </w:rPr>
              <w:t>proposalNo</w:t>
            </w:r>
            <w:r>
              <w:t xml:space="preserve">, </w:t>
            </w:r>
            <w:r>
              <w:rPr>
                <w:rStyle w:val="CodeChar"/>
              </w:rPr>
              <w:t>createdBy</w:t>
            </w:r>
            <w:r>
              <w:t xml:space="preserve">, </w:t>
            </w:r>
            <w:r>
              <w:rPr>
                <w:rStyle w:val="CodeChar"/>
              </w:rPr>
              <w:t>createdAt</w:t>
            </w:r>
          </w:p>
        </w:tc>
      </w:tr>
      <w:tr>
        <w:tblPrEx>
          <w:tblW w:w="0" w:type="auto"/>
          <w:tblLayout w:type="fixed"/>
          <w:tblLook w:val="0420"/>
        </w:tblPrEx>
        <w:tc>
          <w:tcPr>
            <w:tcW w:w="3120" w:type="dxa"/>
          </w:tcPr>
          <w:p>
            <w:r>
              <w:rPr>
                <w:rStyle w:val="CodeChar"/>
              </w:rPr>
              <w:t>equitas_customer_snapshot</w:t>
            </w:r>
          </w:p>
        </w:tc>
        <w:tc>
          <w:tcPr>
            <w:tcW w:w="3120" w:type="dxa"/>
          </w:tcPr>
          <w:p>
            <w:r>
              <w:t>Raw and editable proposer data</w:t>
            </w:r>
          </w:p>
        </w:tc>
        <w:tc>
          <w:tcPr>
            <w:tcW w:w="3120" w:type="dxa"/>
          </w:tcPr>
          <w:p>
            <w:r>
              <w:rPr>
                <w:rStyle w:val="CodeChar"/>
              </w:rPr>
              <w:t>ucic</w:t>
            </w:r>
            <w:r>
              <w:t xml:space="preserve">, </w:t>
            </w:r>
            <w:r>
              <w:rPr>
                <w:rStyle w:val="CodeChar"/>
              </w:rPr>
              <w:t>apiResponse</w:t>
            </w:r>
            <w:r>
              <w:t xml:space="preserve"> (encrypted), </w:t>
            </w:r>
            <w:r>
              <w:rPr>
                <w:rStyle w:val="CodeChar"/>
              </w:rPr>
              <w:t>prefilled{}</w:t>
            </w:r>
            <w:r>
              <w:t xml:space="preserve">, </w:t>
            </w:r>
            <w:r>
              <w:rPr>
                <w:rStyle w:val="CodeChar"/>
              </w:rPr>
              <w:t>edited{}</w:t>
            </w:r>
            <w:r>
              <w:t xml:space="preserve">, </w:t>
            </w:r>
            <w:r>
              <w:rPr>
                <w:rStyle w:val="CodeChar"/>
              </w:rPr>
              <w:t>lockedFields[]</w:t>
            </w:r>
            <w:r>
              <w:t xml:space="preserve">, </w:t>
            </w:r>
            <w:r>
              <w:rPr>
                <w:rStyle w:val="CodeChar"/>
              </w:rPr>
              <w:t>addressProofDocId</w:t>
            </w:r>
          </w:p>
        </w:tc>
      </w:tr>
      <w:tr>
        <w:tblPrEx>
          <w:tblW w:w="0" w:type="auto"/>
          <w:tblLayout w:type="fixed"/>
          <w:tblLook w:val="0420"/>
        </w:tblPrEx>
        <w:tc>
          <w:tcPr>
            <w:tcW w:w="3120" w:type="dxa"/>
          </w:tcPr>
          <w:p>
            <w:r>
              <w:rPr>
                <w:rStyle w:val="CodeChar"/>
              </w:rPr>
              <w:t>equitas_config</w:t>
            </w:r>
          </w:p>
        </w:tc>
        <w:tc>
          <w:tcPr>
            <w:tcW w:w="3120" w:type="dxa"/>
          </w:tcPr>
          <w:p>
            <w:r>
              <w:t>Rules without code change</w:t>
            </w:r>
          </w:p>
        </w:tc>
        <w:tc>
          <w:tcPr>
            <w:tcW w:w="3120" w:type="dxa"/>
          </w:tcPr>
          <w:p>
            <w:r>
              <w:rPr>
                <w:rStyle w:val="CodeChar"/>
              </w:rPr>
              <w:t>srValidityDays</w:t>
            </w:r>
            <w:r>
              <w:t xml:space="preserve"> (30), </w:t>
            </w:r>
            <w:r>
              <w:rPr>
                <w:rStyle w:val="CodeChar"/>
              </w:rPr>
              <w:t>enabledProductCodes[]</w:t>
            </w:r>
            <w:r>
              <w:t xml:space="preserve">, </w:t>
            </w:r>
            <w:r>
              <w:rPr>
                <w:rStyle w:val="CodeChar"/>
              </w:rPr>
              <w:t>allowedPaymentModes[]</w:t>
            </w:r>
            <w:r>
              <w:t xml:space="preserve">, </w:t>
            </w:r>
            <w:r>
              <w:rPr>
                <w:rStyle w:val="CodeChar"/>
              </w:rPr>
              <w:t>useBankSuitability</w:t>
            </w:r>
            <w:r>
              <w:t xml:space="preserve"> (bool), </w:t>
            </w:r>
            <w:r>
              <w:rPr>
                <w:rStyle w:val="CodeChar"/>
              </w:rPr>
              <w:t>accountTypes[]</w:t>
            </w:r>
            <w:r>
              <w:t xml:space="preserve"> (SB, CA, FD, RD)</w:t>
            </w:r>
          </w:p>
        </w:tc>
      </w:tr>
      <w:tr>
        <w:tblPrEx>
          <w:tblW w:w="0" w:type="auto"/>
          <w:tblLayout w:type="fixed"/>
          <w:tblLook w:val="0420"/>
        </w:tblPrEx>
        <w:tc>
          <w:tcPr>
            <w:tcW w:w="3120" w:type="dxa"/>
          </w:tcPr>
          <w:p>
            <w:r>
              <w:rPr>
                <w:rStyle w:val="CodeChar"/>
              </w:rPr>
              <w:t>pincode_master</w:t>
            </w:r>
          </w:p>
        </w:tc>
        <w:tc>
          <w:tcPr>
            <w:tcW w:w="3120" w:type="dxa"/>
          </w:tcPr>
          <w:p>
            <w:r>
              <w:t>Existing insurer master</w:t>
            </w:r>
          </w:p>
        </w:tc>
        <w:tc>
          <w:tcPr>
            <w:tcW w:w="3120" w:type="dxa"/>
          </w:tcPr>
          <w:p>
            <w:r>
              <w:rPr>
                <w:rStyle w:val="CodeChar"/>
              </w:rPr>
              <w:t>pincode</w:t>
            </w:r>
            <w:r>
              <w:t xml:space="preserve">, </w:t>
            </w:r>
            <w:r>
              <w:rPr>
                <w:rStyle w:val="CodeChar"/>
              </w:rPr>
              <w:t>city</w:t>
            </w:r>
            <w:r>
              <w:t xml:space="preserve">, </w:t>
            </w:r>
            <w:r>
              <w:rPr>
                <w:rStyle w:val="CodeChar"/>
              </w:rPr>
              <w:t>state</w:t>
            </w:r>
          </w:p>
        </w:tc>
      </w:tr>
      <w:tr>
        <w:tblPrEx>
          <w:tblW w:w="0" w:type="auto"/>
          <w:tblLayout w:type="fixed"/>
          <w:tblLook w:val="0420"/>
        </w:tblPrEx>
        <w:tc>
          <w:tcPr>
            <w:tcW w:w="3120" w:type="dxa"/>
          </w:tcPr>
          <w:p>
            <w:r>
              <w:rPr>
                <w:rStyle w:val="CodeChar"/>
              </w:rPr>
              <w:t>sp_branch_map</w:t>
            </w:r>
          </w:p>
        </w:tc>
        <w:tc>
          <w:tcPr>
            <w:tcW w:w="3120" w:type="dxa"/>
          </w:tcPr>
          <w:p>
            <w:r>
              <w:t>SP code to Sol ID</w:t>
            </w:r>
          </w:p>
        </w:tc>
        <w:tc>
          <w:tcPr>
            <w:tcW w:w="3120" w:type="dxa"/>
          </w:tcPr>
          <w:p>
            <w:r>
              <w:rPr>
                <w:rStyle w:val="CodeChar"/>
              </w:rPr>
              <w:t>spCode</w:t>
            </w:r>
            <w:r>
              <w:t xml:space="preserve">, </w:t>
            </w:r>
            <w:r>
              <w:rPr>
                <w:rStyle w:val="CodeChar"/>
              </w:rPr>
              <w:t>solId</w:t>
            </w:r>
            <w:r>
              <w:t xml:space="preserve">, </w:t>
            </w:r>
            <w:r>
              <w:rPr>
                <w:rStyle w:val="CodeChar"/>
              </w:rPr>
              <w:t>branchName</w:t>
            </w:r>
          </w:p>
        </w:tc>
      </w:tr>
      <w:tr>
        <w:tblPrEx>
          <w:tblW w:w="0" w:type="auto"/>
          <w:tblLayout w:type="fixed"/>
          <w:tblLook w:val="0420"/>
        </w:tblPrEx>
        <w:tc>
          <w:tcPr>
            <w:tcW w:w="3120" w:type="dxa"/>
          </w:tcPr>
          <w:p>
            <w:r>
              <w:rPr>
                <w:rStyle w:val="CodeChar"/>
              </w:rPr>
              <w:t>api_audit_log</w:t>
            </w:r>
          </w:p>
        </w:tc>
        <w:tc>
          <w:tcPr>
            <w:tcW w:w="3120" w:type="dxa"/>
          </w:tcPr>
          <w:p>
            <w:r>
              <w:t>Bank API calls</w:t>
            </w:r>
          </w:p>
        </w:tc>
        <w:tc>
          <w:tcPr>
            <w:tcW w:w="3120" w:type="dxa"/>
          </w:tcPr>
          <w:p>
            <w:r>
              <w:rPr>
                <w:rStyle w:val="CodeChar"/>
              </w:rPr>
              <w:t>api</w:t>
            </w:r>
            <w:r>
              <w:t xml:space="preserve">, </w:t>
            </w:r>
            <w:r>
              <w:rPr>
                <w:rStyle w:val="CodeChar"/>
              </w:rPr>
              <w:t>requestId</w:t>
            </w:r>
            <w:r>
              <w:t xml:space="preserve">, </w:t>
            </w:r>
            <w:r>
              <w:rPr>
                <w:rStyle w:val="CodeChar"/>
              </w:rPr>
              <w:t>ucic</w:t>
            </w:r>
            <w:r>
              <w:t xml:space="preserve">, </w:t>
            </w:r>
            <w:r>
              <w:rPr>
                <w:rStyle w:val="CodeChar"/>
              </w:rPr>
              <w:t>status</w:t>
            </w:r>
            <w:r>
              <w:t xml:space="preserve">, </w:t>
            </w:r>
            <w:r>
              <w:rPr>
                <w:rStyle w:val="CodeChar"/>
              </w:rPr>
              <w:t>latencyMs</w:t>
            </w:r>
            <w:r>
              <w:t xml:space="preserve">, </w:t>
            </w:r>
            <w:r>
              <w:rPr>
                <w:rStyle w:val="CodeChar"/>
              </w:rPr>
              <w:t>errorCode</w:t>
            </w:r>
            <w:r>
              <w:t xml:space="preserve">, </w:t>
            </w:r>
            <w:r>
              <w:rPr>
                <w:rStyle w:val="CodeChar"/>
              </w:rPr>
              <w:t>timestamp</w:t>
            </w:r>
          </w:p>
        </w:tc>
      </w:tr>
    </w:tbl>
    <w:p>
      <w:pPr>
        <w:pStyle w:val="Heading3"/>
      </w:pPr>
      <w:r>
        <w:t>7.2 Express.js APIs (insurer side)</w:t>
      </w:r>
    </w:p>
    <w:tbl>
      <w:tblPr>
        <w:tblStyle w:val="TableGrid"/>
        <w:tblW w:w="0" w:type="auto"/>
        <w:tblLayout w:type="fixed"/>
        <w:tblLook w:val="0420"/>
      </w:tblPr>
      <w:tblGrid>
        <w:gridCol w:w="3120"/>
        <w:gridCol w:w="3120"/>
        <w:gridCol w:w="3120"/>
      </w:tblGrid>
      <w:tr>
        <w:tblPrEx>
          <w:tblW w:w="0" w:type="auto"/>
          <w:tblLayout w:type="fixed"/>
          <w:tblLook w:val="0420"/>
        </w:tblPrEx>
        <w:trPr>
          <w:tblHeader/>
        </w:trPr>
        <w:tc>
          <w:tcPr>
            <w:tcW w:w="3120" w:type="dxa"/>
            <w:shd w:val="clear" w:color="auto" w:fill="F2F2F2"/>
          </w:tcPr>
          <w:p>
            <w:r>
              <w:t>Method</w:t>
            </w:r>
          </w:p>
        </w:tc>
        <w:tc>
          <w:tcPr>
            <w:tcW w:w="3120" w:type="dxa"/>
            <w:shd w:val="clear" w:color="auto" w:fill="F2F2F2"/>
          </w:tcPr>
          <w:p>
            <w:r>
              <w:t>Endpoint</w:t>
            </w:r>
          </w:p>
        </w:tc>
        <w:tc>
          <w:tcPr>
            <w:tcW w:w="3120" w:type="dxa"/>
            <w:shd w:val="clear" w:color="auto" w:fill="F2F2F2"/>
          </w:tcPr>
          <w:p>
            <w:r>
              <w:t>Purpose</w:t>
            </w:r>
          </w:p>
        </w:tc>
      </w:tr>
      <w:tr>
        <w:tblPrEx>
          <w:tblW w:w="0" w:type="auto"/>
          <w:tblLayout w:type="fixed"/>
          <w:tblLook w:val="0420"/>
        </w:tblPrEx>
        <w:tc>
          <w:tcPr>
            <w:tcW w:w="3120" w:type="dxa"/>
          </w:tcPr>
          <w:p>
            <w:r>
              <w:t>POST</w:t>
            </w:r>
          </w:p>
        </w:tc>
        <w:tc>
          <w:tcPr>
            <w:tcW w:w="3120" w:type="dxa"/>
          </w:tcPr>
          <w:p>
            <w:r>
              <w:rPr>
                <w:rStyle w:val="CodeChar"/>
              </w:rPr>
              <w:t>/api/v1/equitas/ucic/validate</w:t>
            </w:r>
          </w:p>
        </w:tc>
        <w:tc>
          <w:tcPr>
            <w:tcW w:w="3120" w:type="dxa"/>
          </w:tcPr>
          <w:p>
            <w:r>
              <w:t>Calls Fetchcustomer v3, runs V1–V6, returns PASS or the failing check and message</w:t>
            </w:r>
          </w:p>
        </w:tc>
      </w:tr>
      <w:tr>
        <w:tblPrEx>
          <w:tblW w:w="0" w:type="auto"/>
          <w:tblLayout w:type="fixed"/>
          <w:tblLook w:val="0420"/>
        </w:tblPrEx>
        <w:tc>
          <w:tcPr>
            <w:tcW w:w="3120" w:type="dxa"/>
          </w:tcPr>
          <w:p>
            <w:r>
              <w:t>GET</w:t>
            </w:r>
          </w:p>
        </w:tc>
        <w:tc>
          <w:tcPr>
            <w:tcW w:w="3120" w:type="dxa"/>
          </w:tcPr>
          <w:p>
            <w:r>
              <w:rPr>
                <w:rStyle w:val="CodeChar"/>
              </w:rPr>
              <w:t>/api/v1/equitas/logins/{loginId}/customer</w:t>
            </w:r>
          </w:p>
        </w:tc>
        <w:tc>
          <w:tcPr>
            <w:tcW w:w="3120" w:type="dxa"/>
          </w:tcPr>
          <w:p>
            <w:r>
              <w:t>Returns customer type, pre-filled fields and the lock map</w:t>
            </w:r>
          </w:p>
        </w:tc>
      </w:tr>
      <w:tr>
        <w:tblPrEx>
          <w:tblW w:w="0" w:type="auto"/>
          <w:tblLayout w:type="fixed"/>
          <w:tblLook w:val="0420"/>
        </w:tblPrEx>
        <w:tc>
          <w:tcPr>
            <w:tcW w:w="3120" w:type="dxa"/>
          </w:tcPr>
          <w:p>
            <w:r>
              <w:t>PUT</w:t>
            </w:r>
          </w:p>
        </w:tc>
        <w:tc>
          <w:tcPr>
            <w:tcW w:w="3120" w:type="dxa"/>
          </w:tcPr>
          <w:p>
            <w:r>
              <w:rPr>
                <w:rStyle w:val="CodeChar"/>
              </w:rPr>
              <w:t>/api/v1/equitas/logins/{loginId}/customer</w:t>
            </w:r>
          </w:p>
        </w:tc>
        <w:tc>
          <w:tcPr>
            <w:tcW w:w="3120" w:type="dxa"/>
          </w:tcPr>
          <w:p>
            <w:r>
              <w:t>Saves proposer data; rejects changes to locked fields</w:t>
            </w:r>
          </w:p>
        </w:tc>
      </w:tr>
      <w:tr>
        <w:tblPrEx>
          <w:tblW w:w="0" w:type="auto"/>
          <w:tblLayout w:type="fixed"/>
          <w:tblLook w:val="0420"/>
        </w:tblPrEx>
        <w:tc>
          <w:tcPr>
            <w:tcW w:w="3120" w:type="dxa"/>
          </w:tcPr>
          <w:p>
            <w:r>
              <w:t>PUT</w:t>
            </w:r>
          </w:p>
        </w:tc>
        <w:tc>
          <w:tcPr>
            <w:tcW w:w="3120" w:type="dxa"/>
          </w:tcPr>
          <w:p>
            <w:r>
              <w:rPr>
                <w:rStyle w:val="CodeChar"/>
              </w:rPr>
              <w:t>/api/v1/equitas/logins/{loginId}/credit</w:t>
            </w:r>
          </w:p>
        </w:tc>
        <w:tc>
          <w:tcPr>
            <w:tcW w:w="3120" w:type="dxa"/>
          </w:tcPr>
          <w:p>
            <w:r>
              <w:t>Saves LG code; SP code and Sol ID are server-set</w:t>
            </w:r>
          </w:p>
        </w:tc>
      </w:tr>
      <w:tr>
        <w:tblPrEx>
          <w:tblW w:w="0" w:type="auto"/>
          <w:tblLayout w:type="fixed"/>
          <w:tblLook w:val="0420"/>
        </w:tblPrEx>
        <w:tc>
          <w:tcPr>
            <w:tcW w:w="3120" w:type="dxa"/>
          </w:tcPr>
          <w:p>
            <w:r>
              <w:t>POST</w:t>
            </w:r>
          </w:p>
        </w:tc>
        <w:tc>
          <w:tcPr>
            <w:tcW w:w="3120" w:type="dxa"/>
          </w:tcPr>
          <w:p>
            <w:r>
              <w:rPr>
                <w:rStyle w:val="CodeChar"/>
              </w:rPr>
              <w:t>/api/v1/equitas/logins/{loginId}/suitability</w:t>
            </w:r>
          </w:p>
        </w:tc>
        <w:tc>
          <w:tcPr>
            <w:tcW w:w="3120" w:type="dxa"/>
          </w:tcPr>
          <w:p>
            <w:r>
              <w:t>Calls Download Doc API with the SR document ID and stores the file</w:t>
            </w:r>
          </w:p>
        </w:tc>
      </w:tr>
      <w:tr>
        <w:tblPrEx>
          <w:tblW w:w="0" w:type="auto"/>
          <w:tblLayout w:type="fixed"/>
          <w:tblLook w:val="0420"/>
        </w:tblPrEx>
        <w:tc>
          <w:tcPr>
            <w:tcW w:w="3120" w:type="dxa"/>
          </w:tcPr>
          <w:p>
            <w:r>
              <w:t>GET</w:t>
            </w:r>
          </w:p>
        </w:tc>
        <w:tc>
          <w:tcPr>
            <w:tcW w:w="3120" w:type="dxa"/>
          </w:tcPr>
          <w:p>
            <w:r>
              <w:rPr>
                <w:rStyle w:val="CodeChar"/>
              </w:rPr>
              <w:t>/api/v1/payment/modes?channel=EQUITAS</w:t>
            </w:r>
          </w:p>
        </w:tc>
        <w:tc>
          <w:tcPr>
            <w:tcW w:w="3120" w:type="dxa"/>
          </w:tcPr>
          <w:p>
            <w:r>
              <w:t>Returns allowed modes (DD excluded)</w:t>
            </w:r>
          </w:p>
        </w:tc>
      </w:tr>
      <w:tr>
        <w:tblPrEx>
          <w:tblW w:w="0" w:type="auto"/>
          <w:tblLayout w:type="fixed"/>
          <w:tblLook w:val="0420"/>
        </w:tblPrEx>
        <w:tc>
          <w:tcPr>
            <w:tcW w:w="3120" w:type="dxa"/>
          </w:tcPr>
          <w:p>
            <w:r>
              <w:t>GET</w:t>
            </w:r>
          </w:p>
        </w:tc>
        <w:tc>
          <w:tcPr>
            <w:tcW w:w="3120" w:type="dxa"/>
          </w:tcPr>
          <w:p>
            <w:r>
              <w:rPr>
                <w:rStyle w:val="CodeChar"/>
              </w:rPr>
              <w:t>/api/v1/mis/equitas?from=&amp;to=</w:t>
            </w:r>
          </w:p>
        </w:tc>
        <w:tc>
          <w:tcPr>
            <w:tcW w:w="3120" w:type="dxa"/>
          </w:tcPr>
          <w:p>
            <w:r>
              <w:t>Consolidated ENVI + direct MIS</w:t>
            </w:r>
          </w:p>
        </w:tc>
      </w:tr>
    </w:tbl>
    <w:p>
      <w:r>
        <w:rPr>
          <w:rStyle w:val="CodeChar"/>
          <w:b/>
        </w:rPr>
        <w:t>/ucic/validate</w:t>
      </w:r>
      <w:r>
        <w:rPr>
          <w:b/>
        </w:rPr>
        <w:t xml:space="preserve"> response (example)</w:t>
      </w:r>
    </w:p>
    <w:p>
      <w:pPr>
        <w:pStyle w:val="Code"/>
      </w:pPr>
      <w:bookmarkStart w:id="0" w:name="bongo_lang_json_1"/>
      <w:bookmarkEnd w:id="0"/>
      <w:r>
        <w:t>{</w:t>
        <w:br/>
        <w:t xml:space="preserve">  "loginId": "EQL-20260930-00042",</w:t>
        <w:br/>
        <w:t xml:space="preserve">  "status": "PASS",</w:t>
        <w:br/>
        <w:t xml:space="preserve">  "customerType": "INDIVIDUAL_RESIDENT",</w:t>
        <w:br/>
        <w:t xml:space="preserve">  "latestSr": {</w:t>
        <w:br/>
        <w:t xml:space="preserve">    "srNo": "20260925001234",</w:t>
        <w:br/>
        <w:t xml:space="preserve">    "srDate": "2026-09-25",</w:t>
        <w:br/>
        <w:t xml:space="preserve">    "productCode": "IXPTM",</w:t>
        <w:br/>
        <w:t xml:space="preserve">    "spCode": "SP10231",</w:t>
        <w:br/>
        <w:t xml:space="preserve">    "solId": "1045"</w:t>
        <w:br/>
        <w:t xml:space="preserve">  }</w:t>
        <w:br/>
        <w:t>}</w:t>
      </w:r>
    </w:p>
    <w:p>
      <w:r>
        <w:t xml:space="preserve">Blocked example: </w:t>
      </w:r>
      <w:r>
        <w:rPr>
          <w:rStyle w:val="CodeChar"/>
        </w:rPr>
        <w:t>{ "status": "BLOCKED", "failedCheck": "V6", "message": "Service Request is older than 30 days. Please raise a new SR." }</w:t>
      </w:r>
    </w:p>
    <w:p>
      <w:pPr>
        <w:pStyle w:val="Heading3"/>
      </w:pPr>
      <w:r>
        <w:t>7.3 Node.js services</w:t>
      </w:r>
    </w:p>
    <w:p>
      <w:pPr>
        <w:pStyle w:val="ListParagraph"/>
        <w:numPr>
          <w:ilvl w:val="0"/>
          <w:numId w:val="11"/>
        </w:numPr>
      </w:pPr>
      <w:r>
        <w:rPr>
          <w:b/>
        </w:rPr>
        <w:t>Equitas adapter</w:t>
      </w:r>
      <w:r>
        <w:t xml:space="preserve"> – wraps Fetchcustomer v3 and Download Doc APIs; handles auth, timeouts, one retry on network errors, and maps bank fields to internal names.</w:t>
      </w:r>
    </w:p>
    <w:p>
      <w:pPr>
        <w:pStyle w:val="ListParagraph"/>
        <w:numPr>
          <w:ilvl w:val="0"/>
          <w:numId w:val="11"/>
        </w:numPr>
      </w:pPr>
      <w:r>
        <w:rPr>
          <w:b/>
        </w:rPr>
        <w:t>UCIC rule engine</w:t>
      </w:r>
      <w:r>
        <w:t xml:space="preserve"> – runs V1–V6 in order using </w:t>
      </w:r>
      <w:r>
        <w:rPr>
          <w:rStyle w:val="CodeChar"/>
        </w:rPr>
        <w:t>equitas_config</w:t>
      </w:r>
      <w:r>
        <w:t>; picks the latest SR by highest SR number; parses yyyymmdd from the SR number.</w:t>
      </w:r>
    </w:p>
    <w:p>
      <w:pPr>
        <w:pStyle w:val="ListParagraph"/>
        <w:numPr>
          <w:ilvl w:val="0"/>
          <w:numId w:val="11"/>
        </w:numPr>
      </w:pPr>
      <w:r>
        <w:rPr>
          <w:b/>
        </w:rPr>
        <w:t>Customer mapper</w:t>
      </w:r>
      <w:r>
        <w:t xml:space="preserve"> – derives customer type from EntityFlag and ProductCategoryName; builds pre-fill and lock map; maps city/state from </w:t>
      </w:r>
      <w:r>
        <w:rPr>
          <w:rStyle w:val="CodeChar"/>
        </w:rPr>
        <w:t>pincode_master</w:t>
      </w:r>
      <w:r>
        <w:t>.</w:t>
      </w:r>
    </w:p>
    <w:p>
      <w:pPr>
        <w:pStyle w:val="ListParagraph"/>
        <w:numPr>
          <w:ilvl w:val="0"/>
          <w:numId w:val="11"/>
        </w:numPr>
      </w:pPr>
      <w:r>
        <w:rPr>
          <w:b/>
        </w:rPr>
        <w:t>Credit service</w:t>
      </w:r>
      <w:r>
        <w:t xml:space="preserve"> – freezes product code and SP code, resolves Sol ID from </w:t>
      </w:r>
      <w:r>
        <w:rPr>
          <w:rStyle w:val="CodeChar"/>
        </w:rPr>
        <w:t>sp_branch_map</w:t>
      </w:r>
      <w:r>
        <w:t>, validates LG code format.</w:t>
      </w:r>
    </w:p>
    <w:p>
      <w:pPr>
        <w:pStyle w:val="ListParagraph"/>
        <w:numPr>
          <w:ilvl w:val="0"/>
          <w:numId w:val="11"/>
        </w:numPr>
      </w:pPr>
      <w:r>
        <w:rPr>
          <w:b/>
        </w:rPr>
        <w:t>MIS job</w:t>
      </w:r>
      <w:r>
        <w:t xml:space="preserve"> – merges ENVI and direct login data into one report with </w:t>
      </w:r>
      <w:r>
        <w:rPr>
          <w:rStyle w:val="CodeChar"/>
        </w:rPr>
        <w:t>loginSource</w:t>
      </w:r>
      <w:r>
        <w:t>.</w:t>
      </w:r>
    </w:p>
    <w:p>
      <w:pPr>
        <w:pStyle w:val="Heading3"/>
      </w:pPr>
      <w:r>
        <w:t>7.4 React components</w:t>
      </w:r>
    </w:p>
    <w:tbl>
      <w:tblPr>
        <w:tblStyle w:val="TableGrid"/>
        <w:tblW w:w="0" w:type="auto"/>
        <w:tblLayout w:type="fixed"/>
        <w:tblLook w:val="0420"/>
      </w:tblPr>
      <w:tblGrid>
        <w:gridCol w:w="4680"/>
        <w:gridCol w:w="4680"/>
      </w:tblGrid>
      <w:tr>
        <w:tblPrEx>
          <w:tblW w:w="0" w:type="auto"/>
          <w:tblLayout w:type="fixed"/>
          <w:tblLook w:val="0420"/>
        </w:tblPrEx>
        <w:trPr>
          <w:tblHeader/>
        </w:trPr>
        <w:tc>
          <w:tcPr>
            <w:tcW w:w="4680" w:type="dxa"/>
            <w:shd w:val="clear" w:color="auto" w:fill="F2F2F2"/>
          </w:tcPr>
          <w:p>
            <w:r>
              <w:t>Component</w:t>
            </w:r>
          </w:p>
        </w:tc>
        <w:tc>
          <w:tcPr>
            <w:tcW w:w="4680" w:type="dxa"/>
            <w:shd w:val="clear" w:color="auto" w:fill="F2F2F2"/>
          </w:tcPr>
          <w:p>
            <w:r>
              <w:t>Behaviour</w:t>
            </w:r>
          </w:p>
        </w:tc>
      </w:tr>
      <w:tr>
        <w:tblPrEx>
          <w:tblW w:w="0" w:type="auto"/>
          <w:tblLayout w:type="fixed"/>
          <w:tblLook w:val="0420"/>
        </w:tblPrEx>
        <w:tc>
          <w:tcPr>
            <w:tcW w:w="4680" w:type="dxa"/>
          </w:tcPr>
          <w:p>
            <w:r>
              <w:rPr>
                <w:rStyle w:val="CodeChar"/>
              </w:rPr>
              <w:t>UcicEntry</w:t>
            </w:r>
          </w:p>
        </w:tc>
        <w:tc>
          <w:tcPr>
            <w:tcW w:w="4680" w:type="dxa"/>
          </w:tcPr>
          <w:p>
            <w:r>
              <w:t>First screen; UCIC input, "Validate" button, shows the block message for V1–V6</w:t>
            </w:r>
          </w:p>
        </w:tc>
      </w:tr>
      <w:tr>
        <w:tblPrEx>
          <w:tblW w:w="0" w:type="auto"/>
          <w:tblLayout w:type="fixed"/>
          <w:tblLook w:val="0420"/>
        </w:tblPrEx>
        <w:tc>
          <w:tcPr>
            <w:tcW w:w="4680" w:type="dxa"/>
          </w:tcPr>
          <w:p>
            <w:r>
              <w:rPr>
                <w:rStyle w:val="CodeChar"/>
              </w:rPr>
              <w:t>ProposerDetails</w:t>
            </w:r>
          </w:p>
        </w:tc>
        <w:tc>
          <w:tcPr>
            <w:tcW w:w="4680" w:type="dxa"/>
          </w:tcPr>
          <w:p>
            <w:r>
              <w:t xml:space="preserve">Renders fields from the lock map; locked fields read-only; NRI address edit triggers </w:t>
            </w:r>
            <w:r>
              <w:rPr>
                <w:rStyle w:val="CodeChar"/>
              </w:rPr>
              <w:t>AddressProofUpload</w:t>
            </w:r>
          </w:p>
        </w:tc>
      </w:tr>
      <w:tr>
        <w:tblPrEx>
          <w:tblW w:w="0" w:type="auto"/>
          <w:tblLayout w:type="fixed"/>
          <w:tblLook w:val="0420"/>
        </w:tblPrEx>
        <w:tc>
          <w:tcPr>
            <w:tcW w:w="4680" w:type="dxa"/>
          </w:tcPr>
          <w:p>
            <w:r>
              <w:rPr>
                <w:rStyle w:val="CodeChar"/>
              </w:rPr>
              <w:t>AddressProofUpload</w:t>
            </w:r>
          </w:p>
        </w:tc>
        <w:tc>
          <w:tcPr>
            <w:tcW w:w="4680" w:type="dxa"/>
          </w:tcPr>
          <w:p>
            <w:r>
              <w:t>Mandatory upload when NRI changes address</w:t>
            </w:r>
          </w:p>
        </w:tc>
      </w:tr>
      <w:tr>
        <w:tblPrEx>
          <w:tblW w:w="0" w:type="auto"/>
          <w:tblLayout w:type="fixed"/>
          <w:tblLook w:val="0420"/>
        </w:tblPrEx>
        <w:tc>
          <w:tcPr>
            <w:tcW w:w="4680" w:type="dxa"/>
          </w:tcPr>
          <w:p>
            <w:r>
              <w:rPr>
                <w:rStyle w:val="CodeChar"/>
              </w:rPr>
              <w:t>CreditDetails</w:t>
            </w:r>
          </w:p>
        </w:tc>
        <w:tc>
          <w:tcPr>
            <w:tcW w:w="4680" w:type="dxa"/>
          </w:tcPr>
          <w:p>
            <w:r>
              <w:t>LG code input; SP code, product code and Sol ID shown read-only</w:t>
            </w:r>
          </w:p>
        </w:tc>
      </w:tr>
      <w:tr>
        <w:tblPrEx>
          <w:tblW w:w="0" w:type="auto"/>
          <w:tblLayout w:type="fixed"/>
          <w:tblLook w:val="0420"/>
        </w:tblPrEx>
        <w:tc>
          <w:tcPr>
            <w:tcW w:w="4680" w:type="dxa"/>
          </w:tcPr>
          <w:p>
            <w:r>
              <w:rPr>
                <w:rStyle w:val="CodeChar"/>
              </w:rPr>
              <w:t>PaymentModeSelector</w:t>
            </w:r>
          </w:p>
        </w:tc>
        <w:tc>
          <w:tcPr>
            <w:tcW w:w="4680" w:type="dxa"/>
          </w:tcPr>
          <w:p>
            <w:r>
              <w:t xml:space="preserve">Uses </w:t>
            </w:r>
            <w:r>
              <w:rPr>
                <w:rStyle w:val="CodeChar"/>
              </w:rPr>
              <w:t>/payment/modes?channel=EQUITAS</w:t>
            </w:r>
            <w:r>
              <w:t>; DD not shown</w:t>
            </w:r>
          </w:p>
        </w:tc>
      </w:tr>
      <w:tr>
        <w:tblPrEx>
          <w:tblW w:w="0" w:type="auto"/>
          <w:tblLayout w:type="fixed"/>
          <w:tblLook w:val="0420"/>
        </w:tblPrEx>
        <w:tc>
          <w:tcPr>
            <w:tcW w:w="4680" w:type="dxa"/>
          </w:tcPr>
          <w:p>
            <w:r>
              <w:rPr>
                <w:rStyle w:val="CodeChar"/>
              </w:rPr>
              <w:t>SuitabilityStep</w:t>
            </w:r>
          </w:p>
        </w:tc>
        <w:tc>
          <w:tcPr>
            <w:tcW w:w="4680" w:type="dxa"/>
          </w:tcPr>
          <w:p>
            <w:r>
              <w:t>Shows Equitas suitability document when the waiver flag is on; else existing suitability</w:t>
            </w:r>
          </w:p>
        </w:tc>
      </w:tr>
    </w:tbl>
    <w:p>
      <w:pPr>
        <w:pStyle w:val="Heading2"/>
      </w:pPr>
      <w:r>
        <w:t>8. Non-functional requirements</w:t>
      </w:r>
    </w:p>
    <w:tbl>
      <w:tblPr>
        <w:tblStyle w:val="TableGrid"/>
        <w:tblW w:w="0" w:type="auto"/>
        <w:tblLayout w:type="fixed"/>
        <w:tblLook w:val="0420"/>
      </w:tblPr>
      <w:tblGrid>
        <w:gridCol w:w="4680"/>
        <w:gridCol w:w="4680"/>
      </w:tblGrid>
      <w:tr>
        <w:tblPrEx>
          <w:tblW w:w="0" w:type="auto"/>
          <w:tblLayout w:type="fixed"/>
          <w:tblLook w:val="0420"/>
        </w:tblPrEx>
        <w:trPr>
          <w:tblHeader/>
        </w:trPr>
        <w:tc>
          <w:tcPr>
            <w:tcW w:w="4680" w:type="dxa"/>
            <w:shd w:val="clear" w:color="auto" w:fill="F2F2F2"/>
          </w:tcPr>
          <w:p>
            <w:r>
              <w:t>Area</w:t>
            </w:r>
          </w:p>
        </w:tc>
        <w:tc>
          <w:tcPr>
            <w:tcW w:w="4680" w:type="dxa"/>
            <w:shd w:val="clear" w:color="auto" w:fill="F2F2F2"/>
          </w:tcPr>
          <w:p>
            <w:r>
              <w:t>Requirement</w:t>
            </w:r>
          </w:p>
        </w:tc>
      </w:tr>
      <w:tr>
        <w:tblPrEx>
          <w:tblW w:w="0" w:type="auto"/>
          <w:tblLayout w:type="fixed"/>
          <w:tblLook w:val="0420"/>
        </w:tblPrEx>
        <w:tc>
          <w:tcPr>
            <w:tcW w:w="4680" w:type="dxa"/>
          </w:tcPr>
          <w:p>
            <w:r>
              <w:t>Performance</w:t>
            </w:r>
          </w:p>
        </w:tc>
        <w:tc>
          <w:tcPr>
            <w:tcW w:w="4680" w:type="dxa"/>
          </w:tcPr>
          <w:p>
            <w:r>
              <w:t>UCIC validation (API call + rules) completes within 5 seconds end to end; rule engine itself under 200 ms</w:t>
            </w:r>
          </w:p>
        </w:tc>
      </w:tr>
      <w:tr>
        <w:tblPrEx>
          <w:tblW w:w="0" w:type="auto"/>
          <w:tblLayout w:type="fixed"/>
          <w:tblLook w:val="0420"/>
        </w:tblPrEx>
        <w:tc>
          <w:tcPr>
            <w:tcW w:w="4680" w:type="dxa"/>
          </w:tcPr>
          <w:p>
            <w:r>
              <w:t>Availability</w:t>
            </w:r>
          </w:p>
        </w:tc>
        <w:tc>
          <w:tcPr>
            <w:tcW w:w="4680" w:type="dxa"/>
          </w:tcPr>
          <w:p>
            <w:r>
              <w:t>If Fetchcustomer v3 is down or times out, show "Bank service unavailable, please retry" and do not allow login without validation</w:t>
            </w:r>
          </w:p>
        </w:tc>
      </w:tr>
      <w:tr>
        <w:tblPrEx>
          <w:tblW w:w="0" w:type="auto"/>
          <w:tblLayout w:type="fixed"/>
          <w:tblLook w:val="0420"/>
        </w:tblPrEx>
        <w:tc>
          <w:tcPr>
            <w:tcW w:w="4680" w:type="dxa"/>
          </w:tcPr>
          <w:p>
            <w:r>
              <w:t>Security</w:t>
            </w:r>
          </w:p>
        </w:tc>
        <w:tc>
          <w:tcPr>
            <w:tcW w:w="4680" w:type="dxa"/>
          </w:tcPr>
          <w:p>
            <w:r>
              <w:t>Bank API credentials in a secrets vault; PAN, mobile, email and address encrypted at rest; PAN and mobile masked in logs and UI where not needed</w:t>
            </w:r>
          </w:p>
        </w:tc>
      </w:tr>
      <w:tr>
        <w:tblPrEx>
          <w:tblW w:w="0" w:type="auto"/>
          <w:tblLayout w:type="fixed"/>
          <w:tblLook w:val="0420"/>
        </w:tblPrEx>
        <w:tc>
          <w:tcPr>
            <w:tcW w:w="4680" w:type="dxa"/>
          </w:tcPr>
          <w:p>
            <w:r>
              <w:t>Tamper-proofing</w:t>
            </w:r>
          </w:p>
        </w:tc>
        <w:tc>
          <w:tcPr>
            <w:tcW w:w="4680" w:type="dxa"/>
          </w:tcPr>
          <w:p>
            <w:r>
              <w:t>Locked fields and frozen codes enforced server-side, not only in the UI</w:t>
            </w:r>
          </w:p>
        </w:tc>
      </w:tr>
      <w:tr>
        <w:tblPrEx>
          <w:tblW w:w="0" w:type="auto"/>
          <w:tblLayout w:type="fixed"/>
          <w:tblLook w:val="0420"/>
        </w:tblPrEx>
        <w:tc>
          <w:tcPr>
            <w:tcW w:w="4680" w:type="dxa"/>
          </w:tcPr>
          <w:p>
            <w:r>
              <w:t>Audit</w:t>
            </w:r>
          </w:p>
        </w:tc>
        <w:tc>
          <w:tcPr>
            <w:tcW w:w="4680" w:type="dxa"/>
          </w:tcPr>
          <w:p>
            <w:r>
              <w:t>Every validation attempt, block reason, field edit and suitability download logged with user and timestamp</w:t>
            </w:r>
          </w:p>
        </w:tc>
      </w:tr>
      <w:tr>
        <w:tblPrEx>
          <w:tblW w:w="0" w:type="auto"/>
          <w:tblLayout w:type="fixed"/>
          <w:tblLook w:val="0420"/>
        </w:tblPrEx>
        <w:tc>
          <w:tcPr>
            <w:tcW w:w="4680" w:type="dxa"/>
          </w:tcPr>
          <w:p>
            <w:r>
              <w:t>Configurability</w:t>
            </w:r>
          </w:p>
        </w:tc>
        <w:tc>
          <w:tcPr>
            <w:tcW w:w="4680" w:type="dxa"/>
          </w:tcPr>
          <w:p>
            <w:r>
              <w:t xml:space="preserve">30-day window, product list, payment modes, account types and suitability waiver held in </w:t>
            </w:r>
            <w:r>
              <w:rPr>
                <w:rStyle w:val="CodeChar"/>
              </w:rPr>
              <w:t>equitas_config</w:t>
            </w:r>
          </w:p>
        </w:tc>
      </w:tr>
      <w:tr>
        <w:tblPrEx>
          <w:tblW w:w="0" w:type="auto"/>
          <w:tblLayout w:type="fixed"/>
          <w:tblLook w:val="0420"/>
        </w:tblPrEx>
        <w:tc>
          <w:tcPr>
            <w:tcW w:w="4680" w:type="dxa"/>
          </w:tcPr>
          <w:p>
            <w:r>
              <w:t>Data retention</w:t>
            </w:r>
          </w:p>
        </w:tc>
        <w:tc>
          <w:tcPr>
            <w:tcW w:w="4680" w:type="dxa"/>
          </w:tcPr>
          <w:p>
            <w:r>
              <w:t>As per IRDAI and bank data-sharing agreement</w:t>
            </w:r>
          </w:p>
        </w:tc>
      </w:tr>
    </w:tbl>
    <w:p>
      <w:pPr>
        <w:pStyle w:val="Heading2"/>
      </w:pPr>
      <w:r>
        <w:t>9. UAT test scenarios</w:t>
      </w:r>
    </w:p>
    <w:tbl>
      <w:tblPr>
        <w:tblStyle w:val="TableGrid"/>
        <w:tblW w:w="0" w:type="auto"/>
        <w:tblLayout w:type="fixed"/>
        <w:tblLook w:val="0420"/>
      </w:tblPr>
      <w:tblGrid>
        <w:gridCol w:w="2340"/>
        <w:gridCol w:w="2340"/>
        <w:gridCol w:w="2340"/>
        <w:gridCol w:w="2340"/>
      </w:tblGrid>
      <w:tr>
        <w:tblPrEx>
          <w:tblW w:w="0" w:type="auto"/>
          <w:tblLayout w:type="fixed"/>
          <w:tblLook w:val="0420"/>
        </w:tblPrEx>
        <w:trPr>
          <w:tblHeader/>
        </w:trPr>
        <w:tc>
          <w:tcPr>
            <w:tcW w:w="2340" w:type="dxa"/>
            <w:shd w:val="clear" w:color="auto" w:fill="F2F2F2"/>
          </w:tcPr>
          <w:p>
            <w:r>
              <w:t>TC</w:t>
            </w:r>
          </w:p>
        </w:tc>
        <w:tc>
          <w:tcPr>
            <w:tcW w:w="2340" w:type="dxa"/>
            <w:shd w:val="clear" w:color="auto" w:fill="F2F2F2"/>
          </w:tcPr>
          <w:p>
            <w:r>
              <w:t>FR</w:t>
            </w:r>
          </w:p>
        </w:tc>
        <w:tc>
          <w:tcPr>
            <w:tcW w:w="2340" w:type="dxa"/>
            <w:shd w:val="clear" w:color="auto" w:fill="F2F2F2"/>
          </w:tcPr>
          <w:p>
            <w:r>
              <w:t>Scenario</w:t>
            </w:r>
          </w:p>
        </w:tc>
        <w:tc>
          <w:tcPr>
            <w:tcW w:w="2340" w:type="dxa"/>
            <w:shd w:val="clear" w:color="auto" w:fill="F2F2F2"/>
          </w:tcPr>
          <w:p>
            <w:r>
              <w:t>Expected result</w:t>
            </w:r>
          </w:p>
        </w:tc>
      </w:tr>
      <w:tr>
        <w:tblPrEx>
          <w:tblW w:w="0" w:type="auto"/>
          <w:tblLayout w:type="fixed"/>
          <w:tblLook w:val="0420"/>
        </w:tblPrEx>
        <w:tc>
          <w:tcPr>
            <w:tcW w:w="2340" w:type="dxa"/>
          </w:tcPr>
          <w:p>
            <w:r>
              <w:t>TC-01</w:t>
            </w:r>
          </w:p>
        </w:tc>
        <w:tc>
          <w:tcPr>
            <w:tcW w:w="2340" w:type="dxa"/>
          </w:tcPr>
          <w:p>
            <w:r>
              <w:t>FR-01</w:t>
            </w:r>
          </w:p>
        </w:tc>
        <w:tc>
          <w:tcPr>
            <w:tcW w:w="2340" w:type="dxa"/>
          </w:tcPr>
          <w:p>
            <w:r>
              <w:t>Invalid UCIC</w:t>
            </w:r>
          </w:p>
        </w:tc>
        <w:tc>
          <w:tcPr>
            <w:tcW w:w="2340" w:type="dxa"/>
          </w:tcPr>
          <w:p>
            <w:r>
              <w:t>Blocked at V1</w:t>
            </w:r>
          </w:p>
        </w:tc>
      </w:tr>
      <w:tr>
        <w:tblPrEx>
          <w:tblW w:w="0" w:type="auto"/>
          <w:tblLayout w:type="fixed"/>
          <w:tblLook w:val="0420"/>
        </w:tblPrEx>
        <w:tc>
          <w:tcPr>
            <w:tcW w:w="2340" w:type="dxa"/>
          </w:tcPr>
          <w:p>
            <w:r>
              <w:t>TC-02</w:t>
            </w:r>
          </w:p>
        </w:tc>
        <w:tc>
          <w:tcPr>
            <w:tcW w:w="2340" w:type="dxa"/>
          </w:tcPr>
          <w:p>
            <w:r>
              <w:t>FR-01</w:t>
            </w:r>
          </w:p>
        </w:tc>
        <w:tc>
          <w:tcPr>
            <w:tcW w:w="2340" w:type="dxa"/>
          </w:tcPr>
          <w:p>
            <w:r>
              <w:t>UCIC with loan account only, no SB/CA/FD/RD</w:t>
            </w:r>
          </w:p>
        </w:tc>
        <w:tc>
          <w:tcPr>
            <w:tcW w:w="2340" w:type="dxa"/>
          </w:tcPr>
          <w:p>
            <w:r>
              <w:t>Blocked at V2</w:t>
            </w:r>
          </w:p>
        </w:tc>
      </w:tr>
      <w:tr>
        <w:tblPrEx>
          <w:tblW w:w="0" w:type="auto"/>
          <w:tblLayout w:type="fixed"/>
          <w:tblLook w:val="0420"/>
        </w:tblPrEx>
        <w:tc>
          <w:tcPr>
            <w:tcW w:w="2340" w:type="dxa"/>
          </w:tcPr>
          <w:p>
            <w:r>
              <w:t>TC-03</w:t>
            </w:r>
          </w:p>
        </w:tc>
        <w:tc>
          <w:tcPr>
            <w:tcW w:w="2340" w:type="dxa"/>
          </w:tcPr>
          <w:p>
            <w:r>
              <w:t>FR-01</w:t>
            </w:r>
          </w:p>
        </w:tc>
        <w:tc>
          <w:tcPr>
            <w:tcW w:w="2340" w:type="dxa"/>
          </w:tcPr>
          <w:p>
            <w:r>
              <w:t>UCIC with only dormant/closed accounts</w:t>
            </w:r>
          </w:p>
        </w:tc>
        <w:tc>
          <w:tcPr>
            <w:tcW w:w="2340" w:type="dxa"/>
          </w:tcPr>
          <w:p>
            <w:r>
              <w:t>Blocked at V3</w:t>
            </w:r>
          </w:p>
        </w:tc>
      </w:tr>
      <w:tr>
        <w:tblPrEx>
          <w:tblW w:w="0" w:type="auto"/>
          <w:tblLayout w:type="fixed"/>
          <w:tblLook w:val="0420"/>
        </w:tblPrEx>
        <w:tc>
          <w:tcPr>
            <w:tcW w:w="2340" w:type="dxa"/>
          </w:tcPr>
          <w:p>
            <w:r>
              <w:t>TC-04</w:t>
            </w:r>
          </w:p>
        </w:tc>
        <w:tc>
          <w:tcPr>
            <w:tcW w:w="2340" w:type="dxa"/>
          </w:tcPr>
          <w:p>
            <w:r>
              <w:t>FR-01</w:t>
            </w:r>
          </w:p>
        </w:tc>
        <w:tc>
          <w:tcPr>
            <w:tcW w:w="2340" w:type="dxa"/>
          </w:tcPr>
          <w:p>
            <w:r>
              <w:t>Active account, no closed insurance SR</w:t>
            </w:r>
          </w:p>
        </w:tc>
        <w:tc>
          <w:tcPr>
            <w:tcW w:w="2340" w:type="dxa"/>
          </w:tcPr>
          <w:p>
            <w:r>
              <w:t>Blocked at V4</w:t>
            </w:r>
          </w:p>
        </w:tc>
      </w:tr>
      <w:tr>
        <w:tblPrEx>
          <w:tblW w:w="0" w:type="auto"/>
          <w:tblLayout w:type="fixed"/>
          <w:tblLook w:val="0420"/>
        </w:tblPrEx>
        <w:tc>
          <w:tcPr>
            <w:tcW w:w="2340" w:type="dxa"/>
          </w:tcPr>
          <w:p>
            <w:r>
              <w:t>TC-05</w:t>
            </w:r>
          </w:p>
        </w:tc>
        <w:tc>
          <w:tcPr>
            <w:tcW w:w="2340" w:type="dxa"/>
          </w:tcPr>
          <w:p>
            <w:r>
              <w:t>FR-01</w:t>
            </w:r>
          </w:p>
        </w:tc>
        <w:tc>
          <w:tcPr>
            <w:tcW w:w="2340" w:type="dxa"/>
          </w:tcPr>
          <w:p>
            <w:r>
              <w:t>Two SRs; highest SR number is open</w:t>
            </w:r>
          </w:p>
        </w:tc>
        <w:tc>
          <w:tcPr>
            <w:tcW w:w="2340" w:type="dxa"/>
          </w:tcPr>
          <w:p>
            <w:r>
              <w:t>Blocked at V5</w:t>
            </w:r>
          </w:p>
        </w:tc>
      </w:tr>
      <w:tr>
        <w:tblPrEx>
          <w:tblW w:w="0" w:type="auto"/>
          <w:tblLayout w:type="fixed"/>
          <w:tblLook w:val="0420"/>
        </w:tblPrEx>
        <w:tc>
          <w:tcPr>
            <w:tcW w:w="2340" w:type="dxa"/>
          </w:tcPr>
          <w:p>
            <w:r>
              <w:t>TC-06</w:t>
            </w:r>
          </w:p>
        </w:tc>
        <w:tc>
          <w:tcPr>
            <w:tcW w:w="2340" w:type="dxa"/>
          </w:tcPr>
          <w:p>
            <w:r>
              <w:t>FR-01</w:t>
            </w:r>
          </w:p>
        </w:tc>
        <w:tc>
          <w:tcPr>
            <w:tcW w:w="2340" w:type="dxa"/>
          </w:tcPr>
          <w:p>
            <w:r>
              <w:t>Latest SR closed but product of another insurer</w:t>
            </w:r>
          </w:p>
        </w:tc>
        <w:tc>
          <w:tcPr>
            <w:tcW w:w="2340" w:type="dxa"/>
          </w:tcPr>
          <w:p>
            <w:r>
              <w:t>Blocked at V5</w:t>
            </w:r>
          </w:p>
        </w:tc>
      </w:tr>
      <w:tr>
        <w:tblPrEx>
          <w:tblW w:w="0" w:type="auto"/>
          <w:tblLayout w:type="fixed"/>
          <w:tblLook w:val="0420"/>
        </w:tblPrEx>
        <w:tc>
          <w:tcPr>
            <w:tcW w:w="2340" w:type="dxa"/>
          </w:tcPr>
          <w:p>
            <w:r>
              <w:t>TC-07</w:t>
            </w:r>
          </w:p>
        </w:tc>
        <w:tc>
          <w:tcPr>
            <w:tcW w:w="2340" w:type="dxa"/>
          </w:tcPr>
          <w:p>
            <w:r>
              <w:t>FR-01</w:t>
            </w:r>
          </w:p>
        </w:tc>
        <w:tc>
          <w:tcPr>
            <w:tcW w:w="2340" w:type="dxa"/>
          </w:tcPr>
          <w:p>
            <w:r>
              <w:t>Latest SR dated 45 days before login</w:t>
            </w:r>
          </w:p>
        </w:tc>
        <w:tc>
          <w:tcPr>
            <w:tcW w:w="2340" w:type="dxa"/>
          </w:tcPr>
          <w:p>
            <w:r>
              <w:t>Blocked at V6</w:t>
            </w:r>
          </w:p>
        </w:tc>
      </w:tr>
      <w:tr>
        <w:tblPrEx>
          <w:tblW w:w="0" w:type="auto"/>
          <w:tblLayout w:type="fixed"/>
          <w:tblLook w:val="0420"/>
        </w:tblPrEx>
        <w:tc>
          <w:tcPr>
            <w:tcW w:w="2340" w:type="dxa"/>
          </w:tcPr>
          <w:p>
            <w:r>
              <w:t>TC-08</w:t>
            </w:r>
          </w:p>
        </w:tc>
        <w:tc>
          <w:tcPr>
            <w:tcW w:w="2340" w:type="dxa"/>
          </w:tcPr>
          <w:p>
            <w:r>
              <w:t>FR-01</w:t>
            </w:r>
          </w:p>
        </w:tc>
        <w:tc>
          <w:tcPr>
            <w:tcW w:w="2340" w:type="dxa"/>
          </w:tcPr>
          <w:p>
            <w:r>
              <w:t>Latest SR dated 10 days before login, all else valid</w:t>
            </w:r>
          </w:p>
        </w:tc>
        <w:tc>
          <w:tcPr>
            <w:tcW w:w="2340" w:type="dxa"/>
          </w:tcPr>
          <w:p>
            <w:r>
              <w:t>Login proceeds</w:t>
            </w:r>
          </w:p>
        </w:tc>
      </w:tr>
      <w:tr>
        <w:tblPrEx>
          <w:tblW w:w="0" w:type="auto"/>
          <w:tblLayout w:type="fixed"/>
          <w:tblLook w:val="0420"/>
        </w:tblPrEx>
        <w:tc>
          <w:tcPr>
            <w:tcW w:w="2340" w:type="dxa"/>
          </w:tcPr>
          <w:p>
            <w:r>
              <w:t>TC-09</w:t>
            </w:r>
          </w:p>
        </w:tc>
        <w:tc>
          <w:tcPr>
            <w:tcW w:w="2340" w:type="dxa"/>
          </w:tcPr>
          <w:p>
            <w:r>
              <w:t>FR-01</w:t>
            </w:r>
          </w:p>
        </w:tc>
        <w:tc>
          <w:tcPr>
            <w:tcW w:w="2340" w:type="dxa"/>
          </w:tcPr>
          <w:p>
            <w:r>
              <w:t>Try to change product code or SP code later</w:t>
            </w:r>
          </w:p>
        </w:tc>
        <w:tc>
          <w:tcPr>
            <w:tcW w:w="2340" w:type="dxa"/>
          </w:tcPr>
          <w:p>
            <w:r>
              <w:t>Not editable</w:t>
            </w:r>
          </w:p>
        </w:tc>
      </w:tr>
      <w:tr>
        <w:tblPrEx>
          <w:tblW w:w="0" w:type="auto"/>
          <w:tblLayout w:type="fixed"/>
          <w:tblLook w:val="0420"/>
        </w:tblPrEx>
        <w:tc>
          <w:tcPr>
            <w:tcW w:w="2340" w:type="dxa"/>
          </w:tcPr>
          <w:p>
            <w:r>
              <w:t>TC-10</w:t>
            </w:r>
          </w:p>
        </w:tc>
        <w:tc>
          <w:tcPr>
            <w:tcW w:w="2340" w:type="dxa"/>
          </w:tcPr>
          <w:p>
            <w:r>
              <w:t>FR-02</w:t>
            </w:r>
          </w:p>
        </w:tc>
        <w:tc>
          <w:tcPr>
            <w:tcW w:w="2340" w:type="dxa"/>
          </w:tcPr>
          <w:p>
            <w:r>
              <w:t>Resident with email in API</w:t>
            </w:r>
          </w:p>
        </w:tc>
        <w:tc>
          <w:tcPr>
            <w:tcW w:w="2340" w:type="dxa"/>
          </w:tcPr>
          <w:p>
            <w:r>
              <w:t>All proposer fields locked</w:t>
            </w:r>
          </w:p>
        </w:tc>
      </w:tr>
      <w:tr>
        <w:tblPrEx>
          <w:tblW w:w="0" w:type="auto"/>
          <w:tblLayout w:type="fixed"/>
          <w:tblLook w:val="0420"/>
        </w:tblPrEx>
        <w:tc>
          <w:tcPr>
            <w:tcW w:w="2340" w:type="dxa"/>
          </w:tcPr>
          <w:p>
            <w:r>
              <w:t>TC-11</w:t>
            </w:r>
          </w:p>
        </w:tc>
        <w:tc>
          <w:tcPr>
            <w:tcW w:w="2340" w:type="dxa"/>
          </w:tcPr>
          <w:p>
            <w:r>
              <w:t>FR-02</w:t>
            </w:r>
          </w:p>
        </w:tc>
        <w:tc>
          <w:tcPr>
            <w:tcW w:w="2340" w:type="dxa"/>
          </w:tcPr>
          <w:p>
            <w:r>
              <w:t>Resident with blank email</w:t>
            </w:r>
          </w:p>
        </w:tc>
        <w:tc>
          <w:tcPr>
            <w:tcW w:w="2340" w:type="dxa"/>
          </w:tcPr>
          <w:p>
            <w:r>
              <w:t>Only email editable</w:t>
            </w:r>
          </w:p>
        </w:tc>
      </w:tr>
      <w:tr>
        <w:tblPrEx>
          <w:tblW w:w="0" w:type="auto"/>
          <w:tblLayout w:type="fixed"/>
          <w:tblLook w:val="0420"/>
        </w:tblPrEx>
        <w:tc>
          <w:tcPr>
            <w:tcW w:w="2340" w:type="dxa"/>
          </w:tcPr>
          <w:p>
            <w:r>
              <w:t>TC-12</w:t>
            </w:r>
          </w:p>
        </w:tc>
        <w:tc>
          <w:tcPr>
            <w:tcW w:w="2340" w:type="dxa"/>
          </w:tcPr>
          <w:p>
            <w:r>
              <w:t>FR-02</w:t>
            </w:r>
          </w:p>
        </w:tc>
        <w:tc>
          <w:tcPr>
            <w:tcW w:w="2340" w:type="dxa"/>
          </w:tcPr>
          <w:p>
            <w:r>
              <w:t>NRI changes address</w:t>
            </w:r>
          </w:p>
        </w:tc>
        <w:tc>
          <w:tcPr>
            <w:tcW w:w="2340" w:type="dxa"/>
          </w:tcPr>
          <w:p>
            <w:r>
              <w:t>Address proof upload mandatory</w:t>
            </w:r>
          </w:p>
        </w:tc>
      </w:tr>
      <w:tr>
        <w:tblPrEx>
          <w:tblW w:w="0" w:type="auto"/>
          <w:tblLayout w:type="fixed"/>
          <w:tblLook w:val="0420"/>
        </w:tblPrEx>
        <w:tc>
          <w:tcPr>
            <w:tcW w:w="2340" w:type="dxa"/>
          </w:tcPr>
          <w:p>
            <w:r>
              <w:t>TC-13</w:t>
            </w:r>
          </w:p>
        </w:tc>
        <w:tc>
          <w:tcPr>
            <w:tcW w:w="2340" w:type="dxa"/>
          </w:tcPr>
          <w:p>
            <w:r>
              <w:t>FR-02</w:t>
            </w:r>
          </w:p>
        </w:tc>
        <w:tc>
          <w:tcPr>
            <w:tcW w:w="2340" w:type="dxa"/>
          </w:tcPr>
          <w:p>
            <w:r>
              <w:t>Non Individual</w:t>
            </w:r>
          </w:p>
        </w:tc>
        <w:tc>
          <w:tcPr>
            <w:tcW w:w="2340" w:type="dxa"/>
          </w:tcPr>
          <w:p>
            <w:r>
              <w:t>No pre-fill; all fields manual; documents mandatory</w:t>
            </w:r>
          </w:p>
        </w:tc>
      </w:tr>
      <w:tr>
        <w:tblPrEx>
          <w:tblW w:w="0" w:type="auto"/>
          <w:tblLayout w:type="fixed"/>
          <w:tblLook w:val="0420"/>
        </w:tblPrEx>
        <w:tc>
          <w:tcPr>
            <w:tcW w:w="2340" w:type="dxa"/>
          </w:tcPr>
          <w:p>
            <w:r>
              <w:t>TC-14</w:t>
            </w:r>
          </w:p>
        </w:tc>
        <w:tc>
          <w:tcPr>
            <w:tcW w:w="2340" w:type="dxa"/>
          </w:tcPr>
          <w:p>
            <w:r>
              <w:t>FR-03</w:t>
            </w:r>
          </w:p>
        </w:tc>
        <w:tc>
          <w:tcPr>
            <w:tcW w:w="2340" w:type="dxa"/>
          </w:tcPr>
          <w:p>
            <w:r>
              <w:t>Pincode present in insurer master</w:t>
            </w:r>
          </w:p>
        </w:tc>
        <w:tc>
          <w:tcPr>
            <w:tcW w:w="2340" w:type="dxa"/>
          </w:tcPr>
          <w:p>
            <w:r>
              <w:t>City and state from insurer master</w:t>
            </w:r>
          </w:p>
        </w:tc>
      </w:tr>
      <w:tr>
        <w:tblPrEx>
          <w:tblW w:w="0" w:type="auto"/>
          <w:tblLayout w:type="fixed"/>
          <w:tblLook w:val="0420"/>
        </w:tblPrEx>
        <w:tc>
          <w:tcPr>
            <w:tcW w:w="2340" w:type="dxa"/>
          </w:tcPr>
          <w:p>
            <w:r>
              <w:t>TC-15</w:t>
            </w:r>
          </w:p>
        </w:tc>
        <w:tc>
          <w:tcPr>
            <w:tcW w:w="2340" w:type="dxa"/>
          </w:tcPr>
          <w:p>
            <w:r>
              <w:t>FR-03</w:t>
            </w:r>
          </w:p>
        </w:tc>
        <w:tc>
          <w:tcPr>
            <w:tcW w:w="2340" w:type="dxa"/>
          </w:tcPr>
          <w:p>
            <w:r>
              <w:t>Pincode missing in insurer master</w:t>
            </w:r>
          </w:p>
        </w:tc>
        <w:tc>
          <w:tcPr>
            <w:tcW w:w="2340" w:type="dxa"/>
          </w:tcPr>
          <w:p>
            <w:r>
              <w:t>Error shown; cannot proceed</w:t>
            </w:r>
          </w:p>
        </w:tc>
      </w:tr>
      <w:tr>
        <w:tblPrEx>
          <w:tblW w:w="0" w:type="auto"/>
          <w:tblLayout w:type="fixed"/>
          <w:tblLook w:val="0420"/>
        </w:tblPrEx>
        <w:tc>
          <w:tcPr>
            <w:tcW w:w="2340" w:type="dxa"/>
          </w:tcPr>
          <w:p>
            <w:r>
              <w:t>TC-16</w:t>
            </w:r>
          </w:p>
        </w:tc>
        <w:tc>
          <w:tcPr>
            <w:tcW w:w="2340" w:type="dxa"/>
          </w:tcPr>
          <w:p>
            <w:r>
              <w:t>FR-04</w:t>
            </w:r>
          </w:p>
        </w:tc>
        <w:tc>
          <w:tcPr>
            <w:tcW w:w="2340" w:type="dxa"/>
          </w:tcPr>
          <w:p>
            <w:r>
              <w:t>Complete login and check MIS</w:t>
            </w:r>
          </w:p>
        </w:tc>
        <w:tc>
          <w:tcPr>
            <w:tcW w:w="2340" w:type="dxa"/>
          </w:tcPr>
          <w:p>
            <w:r>
              <w:t>UCIC, LG code, SP code, Sol ID present</w:t>
            </w:r>
          </w:p>
        </w:tc>
      </w:tr>
      <w:tr>
        <w:tblPrEx>
          <w:tblW w:w="0" w:type="auto"/>
          <w:tblLayout w:type="fixed"/>
          <w:tblLook w:val="0420"/>
        </w:tblPrEx>
        <w:tc>
          <w:tcPr>
            <w:tcW w:w="2340" w:type="dxa"/>
          </w:tcPr>
          <w:p>
            <w:r>
              <w:t>TC-17</w:t>
            </w:r>
          </w:p>
        </w:tc>
        <w:tc>
          <w:tcPr>
            <w:tcW w:w="2340" w:type="dxa"/>
          </w:tcPr>
          <w:p>
            <w:r>
              <w:t>FR-05</w:t>
            </w:r>
          </w:p>
        </w:tc>
        <w:tc>
          <w:tcPr>
            <w:tcW w:w="2340" w:type="dxa"/>
          </w:tcPr>
          <w:p>
            <w:r>
              <w:t>Open payment step</w:t>
            </w:r>
          </w:p>
        </w:tc>
        <w:tc>
          <w:tcPr>
            <w:tcW w:w="2340" w:type="dxa"/>
          </w:tcPr>
          <w:p>
            <w:r>
              <w:t>DD not available; all other listed modes available</w:t>
            </w:r>
          </w:p>
        </w:tc>
      </w:tr>
      <w:tr>
        <w:tblPrEx>
          <w:tblW w:w="0" w:type="auto"/>
          <w:tblLayout w:type="fixed"/>
          <w:tblLook w:val="0420"/>
        </w:tblPrEx>
        <w:tc>
          <w:tcPr>
            <w:tcW w:w="2340" w:type="dxa"/>
          </w:tcPr>
          <w:p>
            <w:r>
              <w:t>TC-18</w:t>
            </w:r>
          </w:p>
        </w:tc>
        <w:tc>
          <w:tcPr>
            <w:tcW w:w="2340" w:type="dxa"/>
          </w:tcPr>
          <w:p>
            <w:r>
              <w:t>FR-06</w:t>
            </w:r>
          </w:p>
        </w:tc>
        <w:tc>
          <w:tcPr>
            <w:tcW w:w="2340" w:type="dxa"/>
          </w:tcPr>
          <w:p>
            <w:r>
              <w:t>Suitability waiver ON</w:t>
            </w:r>
          </w:p>
        </w:tc>
        <w:tc>
          <w:tcPr>
            <w:tcW w:w="2340" w:type="dxa"/>
          </w:tcPr>
          <w:p>
            <w:r>
              <w:t>Equitas document downloaded and stored</w:t>
            </w:r>
          </w:p>
        </w:tc>
      </w:tr>
      <w:tr>
        <w:tblPrEx>
          <w:tblW w:w="0" w:type="auto"/>
          <w:tblLayout w:type="fixed"/>
          <w:tblLook w:val="0420"/>
        </w:tblPrEx>
        <w:tc>
          <w:tcPr>
            <w:tcW w:w="2340" w:type="dxa"/>
          </w:tcPr>
          <w:p>
            <w:r>
              <w:t>TC-19</w:t>
            </w:r>
          </w:p>
        </w:tc>
        <w:tc>
          <w:tcPr>
            <w:tcW w:w="2340" w:type="dxa"/>
          </w:tcPr>
          <w:p>
            <w:r>
              <w:t>FR-06</w:t>
            </w:r>
          </w:p>
        </w:tc>
        <w:tc>
          <w:tcPr>
            <w:tcW w:w="2340" w:type="dxa"/>
          </w:tcPr>
          <w:p>
            <w:r>
              <w:t>Waiver ON, Download Doc API fails</w:t>
            </w:r>
          </w:p>
        </w:tc>
        <w:tc>
          <w:tcPr>
            <w:tcW w:w="2340" w:type="dxa"/>
          </w:tcPr>
          <w:p>
            <w:r>
              <w:t>Falls back to insurer suitability</w:t>
            </w:r>
          </w:p>
        </w:tc>
      </w:tr>
      <w:tr>
        <w:tblPrEx>
          <w:tblW w:w="0" w:type="auto"/>
          <w:tblLayout w:type="fixed"/>
          <w:tblLook w:val="0420"/>
        </w:tblPrEx>
        <w:tc>
          <w:tcPr>
            <w:tcW w:w="2340" w:type="dxa"/>
          </w:tcPr>
          <w:p>
            <w:r>
              <w:t>TC-20</w:t>
            </w:r>
          </w:p>
        </w:tc>
        <w:tc>
          <w:tcPr>
            <w:tcW w:w="2340" w:type="dxa"/>
          </w:tcPr>
          <w:p>
            <w:r>
              <w:t>FR-07</w:t>
            </w:r>
          </w:p>
        </w:tc>
        <w:tc>
          <w:tcPr>
            <w:tcW w:w="2340" w:type="dxa"/>
          </w:tcPr>
          <w:p>
            <w:r>
              <w:t>Run MIS with ENVI and direct logins</w:t>
            </w:r>
          </w:p>
        </w:tc>
        <w:tc>
          <w:tcPr>
            <w:tcW w:w="2340" w:type="dxa"/>
          </w:tcPr>
          <w:p>
            <w:r>
              <w:t xml:space="preserve">Both appear with correct </w:t>
            </w:r>
            <w:r>
              <w:rPr>
                <w:rStyle w:val="CodeChar"/>
              </w:rPr>
              <w:t>loginSource</w:t>
            </w:r>
          </w:p>
        </w:tc>
      </w:tr>
      <w:tr>
        <w:tblPrEx>
          <w:tblW w:w="0" w:type="auto"/>
          <w:tblLayout w:type="fixed"/>
          <w:tblLook w:val="0420"/>
        </w:tblPrEx>
        <w:tc>
          <w:tcPr>
            <w:tcW w:w="2340" w:type="dxa"/>
          </w:tcPr>
          <w:p>
            <w:r>
              <w:t>TC-21</w:t>
            </w:r>
          </w:p>
        </w:tc>
        <w:tc>
          <w:tcPr>
            <w:tcW w:w="2340" w:type="dxa"/>
          </w:tcPr>
          <w:p>
            <w:r>
              <w:t>–</w:t>
            </w:r>
          </w:p>
        </w:tc>
        <w:tc>
          <w:tcPr>
            <w:tcW w:w="2340" w:type="dxa"/>
          </w:tcPr>
          <w:p>
            <w:r>
              <w:t>Fetchcustomer v3 timeout</w:t>
            </w:r>
          </w:p>
        </w:tc>
        <w:tc>
          <w:tcPr>
            <w:tcW w:w="2340" w:type="dxa"/>
          </w:tcPr>
          <w:p>
            <w:r>
              <w:t>Retry message; login not allowed</w:t>
            </w:r>
          </w:p>
        </w:tc>
      </w:tr>
    </w:tbl>
    <w:p>
      <w:pPr>
        <w:pStyle w:val="Heading2"/>
      </w:pPr>
      <w:r>
        <w:t>10. Open questions and sign-off</w:t>
      </w:r>
    </w:p>
    <w:p>
      <w:r>
        <w:rPr>
          <w:b/>
        </w:rPr>
        <w:t>Open questions</w:t>
      </w:r>
    </w:p>
    <w:p>
      <w:pPr>
        <w:pStyle w:val="ListParagraph"/>
        <w:numPr>
          <w:ilvl w:val="0"/>
          <w:numId w:val="12"/>
        </w:numPr>
      </w:pPr>
      <w:r>
        <w:t>☐ 30-day rule: is an SR raised exactly 30 days before login allowed or blocked? Is the day count calendar days?</w:t>
      </w:r>
    </w:p>
    <w:p>
      <w:pPr>
        <w:pStyle w:val="ListParagraph"/>
        <w:numPr>
          <w:ilvl w:val="0"/>
          <w:numId w:val="12"/>
        </w:numPr>
      </w:pPr>
      <w:r>
        <w:t>☐ Resident Indian identification: exact ProductCategoryName value for residents (URD line is cut off in the source).</w:t>
      </w:r>
    </w:p>
    <w:p>
      <w:pPr>
        <w:pStyle w:val="ListParagraph"/>
        <w:numPr>
          <w:ilvl w:val="0"/>
          <w:numId w:val="12"/>
        </w:numPr>
      </w:pPr>
      <w:r>
        <w:t>☐ Product code for Pension4Life is blank in the URD product table.</w:t>
      </w:r>
    </w:p>
    <w:p>
      <w:pPr>
        <w:pStyle w:val="ListParagraph"/>
        <w:numPr>
          <w:ilvl w:val="0"/>
          <w:numId w:val="12"/>
        </w:numPr>
      </w:pPr>
      <w:r>
        <w:t>☐ Source of Sol ID for the SP code: returned in the SR list, or from an insurer-maintained SP–branch map?</w:t>
      </w:r>
    </w:p>
    <w:p>
      <w:pPr>
        <w:pStyle w:val="ListParagraph"/>
        <w:numPr>
          <w:ilvl w:val="0"/>
          <w:numId w:val="12"/>
        </w:numPr>
      </w:pPr>
      <w:r>
        <w:t>☐ LG code format and validation (length, numeric / alphanumeric), and whether it is mandatory.</w:t>
      </w:r>
    </w:p>
    <w:p>
      <w:pPr>
        <w:pStyle w:val="ListParagraph"/>
        <w:numPr>
          <w:ilvl w:val="0"/>
          <w:numId w:val="12"/>
        </w:numPr>
      </w:pPr>
      <w:r>
        <w:t>☐ Resident customer whose pincode is missing in the insurer master: block, or allow manual city/state selection?</w:t>
      </w:r>
    </w:p>
    <w:p>
      <w:pPr>
        <w:pStyle w:val="ListParagraph"/>
        <w:numPr>
          <w:ilvl w:val="0"/>
          <w:numId w:val="12"/>
        </w:numPr>
      </w:pPr>
      <w:r>
        <w:t>☐ Is the suitability waiver switched on at go-live, and for which products?</w:t>
      </w:r>
    </w:p>
    <w:p>
      <w:pPr>
        <w:pStyle w:val="ListParagraph"/>
        <w:numPr>
          <w:ilvl w:val="0"/>
          <w:numId w:val="12"/>
        </w:numPr>
      </w:pPr>
      <w:r>
        <w:t>☐ Fetchcustomer v3 and Download Doc API contracts: endpoints, auth, SLA and error codes.</w:t>
      </w:r>
    </w:p>
    <w:p>
      <w:r>
        <w:rPr>
          <w:b/>
        </w:rPr>
        <w:t>Sign-off</w:t>
      </w:r>
    </w:p>
    <w:tbl>
      <w:tblPr>
        <w:tblStyle w:val="TableGrid"/>
        <w:tblW w:w="0" w:type="auto"/>
        <w:tblLayout w:type="fixed"/>
        <w:tblLook w:val="0420"/>
      </w:tblPr>
      <w:tblGrid>
        <w:gridCol w:w="2340"/>
        <w:gridCol w:w="2340"/>
        <w:gridCol w:w="2340"/>
        <w:gridCol w:w="2340"/>
      </w:tblGrid>
      <w:tr>
        <w:tblPrEx>
          <w:tblW w:w="0" w:type="auto"/>
          <w:tblLayout w:type="fixed"/>
          <w:tblLook w:val="0420"/>
        </w:tblPrEx>
        <w:trPr>
          <w:tblHeader/>
        </w:trPr>
        <w:tc>
          <w:tcPr>
            <w:tcW w:w="2340" w:type="dxa"/>
            <w:shd w:val="clear" w:color="auto" w:fill="F2F2F2"/>
          </w:tcPr>
          <w:p>
            <w:r>
              <w:t>Role</w:t>
            </w:r>
          </w:p>
        </w:tc>
        <w:tc>
          <w:tcPr>
            <w:tcW w:w="2340" w:type="dxa"/>
            <w:shd w:val="clear" w:color="auto" w:fill="F2F2F2"/>
          </w:tcPr>
          <w:p>
            <w:r>
              <w:t>Name</w:t>
            </w:r>
          </w:p>
        </w:tc>
        <w:tc>
          <w:tcPr>
            <w:tcW w:w="2340" w:type="dxa"/>
            <w:shd w:val="clear" w:color="auto" w:fill="F2F2F2"/>
          </w:tcPr>
          <w:p>
            <w:r>
              <w:t>Decision</w:t>
            </w:r>
          </w:p>
        </w:tc>
        <w:tc>
          <w:tcPr>
            <w:tcW w:w="2340" w:type="dxa"/>
            <w:shd w:val="clear" w:color="auto" w:fill="F2F2F2"/>
          </w:tcPr>
          <w:p>
            <w:r>
              <w:t>Date</w:t>
            </w:r>
          </w:p>
        </w:tc>
      </w:tr>
      <w:tr>
        <w:tblPrEx>
          <w:tblW w:w="0" w:type="auto"/>
          <w:tblLayout w:type="fixed"/>
          <w:tblLook w:val="0420"/>
        </w:tblPrEx>
        <w:tc>
          <w:tcPr>
            <w:tcW w:w="2340" w:type="dxa"/>
          </w:tcPr>
          <w:p>
            <w:r>
              <w:t>Equitas Bank – Business</w:t>
            </w:r>
          </w:p>
        </w:tc>
        <w:tc>
          <w:tcPr>
            <w:tcW w:w="2340" w:type="dxa"/>
          </w:tcPr>
          <w:p/>
        </w:tc>
        <w:tc>
          <w:tcPr>
            <w:tcW w:w="2340" w:type="dxa"/>
          </w:tcPr>
          <w:p/>
        </w:tc>
        <w:tc>
          <w:tcPr>
            <w:tcW w:w="2340" w:type="dxa"/>
          </w:tcPr>
          <w:p/>
        </w:tc>
      </w:tr>
      <w:tr>
        <w:tblPrEx>
          <w:tblW w:w="0" w:type="auto"/>
          <w:tblLayout w:type="fixed"/>
          <w:tblLook w:val="0420"/>
        </w:tblPrEx>
        <w:tc>
          <w:tcPr>
            <w:tcW w:w="2340" w:type="dxa"/>
          </w:tcPr>
          <w:p>
            <w:r>
              <w:t>Insurer – Business</w:t>
            </w:r>
          </w:p>
        </w:tc>
        <w:tc>
          <w:tcPr>
            <w:tcW w:w="2340" w:type="dxa"/>
          </w:tcPr>
          <w:p/>
        </w:tc>
        <w:tc>
          <w:tcPr>
            <w:tcW w:w="2340" w:type="dxa"/>
          </w:tcPr>
          <w:p/>
        </w:tc>
        <w:tc>
          <w:tcPr>
            <w:tcW w:w="2340" w:type="dxa"/>
          </w:tcPr>
          <w:p/>
        </w:tc>
      </w:tr>
      <w:tr>
        <w:tblPrEx>
          <w:tblW w:w="0" w:type="auto"/>
          <w:tblLayout w:type="fixed"/>
          <w:tblLook w:val="0420"/>
        </w:tblPrEx>
        <w:tc>
          <w:tcPr>
            <w:tcW w:w="2340" w:type="dxa"/>
          </w:tcPr>
          <w:p>
            <w:r>
              <w:t>Operations</w:t>
            </w:r>
          </w:p>
        </w:tc>
        <w:tc>
          <w:tcPr>
            <w:tcW w:w="2340" w:type="dxa"/>
          </w:tcPr>
          <w:p/>
        </w:tc>
        <w:tc>
          <w:tcPr>
            <w:tcW w:w="2340" w:type="dxa"/>
          </w:tcPr>
          <w:p/>
        </w:tc>
        <w:tc>
          <w:tcPr>
            <w:tcW w:w="2340" w:type="dxa"/>
          </w:tcPr>
          <w:p/>
        </w:tc>
      </w:tr>
      <w:tr>
        <w:tblPrEx>
          <w:tblW w:w="0" w:type="auto"/>
          <w:tblLayout w:type="fixed"/>
          <w:tblLook w:val="0420"/>
        </w:tblPrEx>
        <w:tc>
          <w:tcPr>
            <w:tcW w:w="2340" w:type="dxa"/>
          </w:tcPr>
          <w:p>
            <w:r>
              <w:t>Compliance</w:t>
            </w:r>
          </w:p>
        </w:tc>
        <w:tc>
          <w:tcPr>
            <w:tcW w:w="2340" w:type="dxa"/>
          </w:tcPr>
          <w:p/>
        </w:tc>
        <w:tc>
          <w:tcPr>
            <w:tcW w:w="2340" w:type="dxa"/>
          </w:tcPr>
          <w:p/>
        </w:tc>
        <w:tc>
          <w:tcPr>
            <w:tcW w:w="2340" w:type="dxa"/>
          </w:tcPr>
          <w:p/>
        </w:tc>
      </w:tr>
      <w:tr>
        <w:tblPrEx>
          <w:tblW w:w="0" w:type="auto"/>
          <w:tblLayout w:type="fixed"/>
          <w:tblLook w:val="0420"/>
        </w:tblPrEx>
        <w:tc>
          <w:tcPr>
            <w:tcW w:w="2340" w:type="dxa"/>
          </w:tcPr>
          <w:p>
            <w:r>
              <w:t>IT – inSURE 2.0</w:t>
            </w:r>
          </w:p>
        </w:tc>
        <w:tc>
          <w:tcPr>
            <w:tcW w:w="2340" w:type="dxa"/>
          </w:tcPr>
          <w:p/>
        </w:tc>
        <w:tc>
          <w:tcPr>
            <w:tcW w:w="2340" w:type="dxa"/>
          </w:tcPr>
          <w:p/>
        </w:tc>
        <w:tc>
          <w:tcPr>
            <w:tcW w:w="2340" w:type="dxa"/>
          </w:tcPr>
          <w:p/>
        </w:tc>
      </w:tr>
      <w:tr>
        <w:tblPrEx>
          <w:tblW w:w="0" w:type="auto"/>
          <w:tblLayout w:type="fixed"/>
          <w:tblLook w:val="0420"/>
        </w:tblPrEx>
        <w:tc>
          <w:tcPr>
            <w:tcW w:w="2340" w:type="dxa"/>
          </w:tcPr>
          <w:p>
            <w:r>
              <w:t>Project Manager</w:t>
            </w:r>
          </w:p>
        </w:tc>
        <w:tc>
          <w:tcPr>
            <w:tcW w:w="2340" w:type="dxa"/>
          </w:tcPr>
          <w:p/>
        </w:tc>
        <w:tc>
          <w:tcPr>
            <w:tcW w:w="2340" w:type="dxa"/>
          </w:tcPr>
          <w:p/>
        </w:tc>
        <w:tc>
          <w:tcPr>
            <w:tcW w:w="2340" w:type="dxa"/>
          </w:tcPr>
          <w:p/>
        </w:tc>
      </w:tr>
    </w:tbl>
    <w:p/>
    <w:sectPr>
      <w:headerReference w:type="default" r:id="rId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30.15pt;height:9.94pt;margin-top:747.06pt;margin-left:290.93pt;mso-position-horizontal-relative:page;mso-position-vertical-relative:page;position:absolute;z-index:251658240" fillcolor="#1a73e8" stroked="f">
          <v:fill opacity="45875f"/>
          <v:path strokeok="f"/>
          <v:textpath style="font-family:Arial;v-text-align:left" string="Intern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70E5186"/>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nsid w:val="7014E6E6"/>
    <w:multiLevelType w:val="hybridMultilevel"/>
    <w:tmpl w:val="00000000"/>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num w:numId="1">
    <w:abstractNumId w:val="1"/>
  </w:num>
  <w:num w:numId="2">
    <w:abstractNumId w:val="1"/>
  </w:num>
  <w:num w:numId="3">
    <w:abstractNumId w:val="0"/>
    <w:lvlOverride w:ilvl="0">
      <w:startOverride w:val="1"/>
    </w:lvlOverride>
  </w:num>
  <w:num w:numId="4">
    <w:abstractNumId w:val="1"/>
  </w:num>
  <w:num w:numId="5">
    <w:abstractNumId w:val="0"/>
    <w:lvlOverride w:ilvl="0">
      <w:startOverride w:val="1"/>
    </w:lvlOverride>
  </w:num>
  <w:num w:numId="6">
    <w:abstractNumId w:val="1"/>
  </w:num>
  <w:num w:numId="7">
    <w:abstractNumId w:val="0"/>
    <w:lvlOverride w:ilvl="0">
      <w:startOverride w:val="1"/>
    </w:lvlOverride>
  </w:num>
  <w:num w:numId="8">
    <w:abstractNumId w:val="1"/>
  </w:num>
  <w:num w:numId="9">
    <w:abstractNumId w:val="0"/>
    <w:lvlOverride w:ilvl="0">
      <w:startOverride w:val="1"/>
    </w:lvlOverride>
  </w:num>
  <w:num w:numId="10">
    <w:abstractNumId w:val="0"/>
    <w:lvlOverride w:ilvl="0">
      <w:startOverride w:val="1"/>
    </w:lvlOverride>
  </w:num>
  <w:num w:numId="11">
    <w:abstractNumId w:val="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character" w:default="1" w:styleId="DefaultParagraphFont">
    <w:name w:val="Default Paragraph Font"/>
    <w:uiPriority w:val="1"/>
    <w:semiHidden/>
    <w:unhideWhenUsed/>
  </w:style>
  <w:style w:type="table" w:default="1" w:styleId="TableNormal">
    <w:name w:val="Normal Table"/>
    <w:tblPr>
      <w:tblInd w:w="0" w:type="dxa"/>
      <w:tblCellMar>
        <w:top w:w="0" w:type="dxa"/>
        <w:left w:w="108" w:type="dxa"/>
        <w:bottom w:w="0" w:type="dxa"/>
        <w:right w:w="108" w:type="dxa"/>
      </w:tblCellMar>
    </w:tbl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FRD – CR-48337 Equitas Bank UCIC Login Enhancement (inSURE 2.0)</dc:title>
  <dc:description>Claude Docs node/97894089-1be3@8 docx-w6</dc:description>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SARadarClassification">
    <vt:lpwstr>Internal</vt:lpwstr>
  </property>
  <property fmtid="{D5CDD505-2E9C-101B-9397-08002B2CF9AE}" pid="3" name="SISARadarPurpose">
    <vt:lpwstr/>
  </property>
</Properties>
</file>