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1.2.0 -->
  <w:body>
    <w:p>
      <w:pPr>
        <w:pStyle w:val="Title0"/>
        <w:spacing w:after="80"/>
      </w:pPr>
      <w:r>
        <w:t>Functional Requirements Document</w:t>
      </w:r>
    </w:p>
    <w:p>
      <w:pPr>
        <w:spacing w:after="240"/>
      </w:pPr>
      <w:r>
        <w:rPr>
          <w:color w:val="404040"/>
          <w:sz w:val="26"/>
          <w:szCs w:val="26"/>
        </w:rPr>
        <w:t>New Channel Enablement – Bihar Gramin Bank (BGB) in inSURE 2.0 Sales App</w:t>
      </w:r>
    </w:p>
    <w:p>
      <w:pPr>
        <w:pStyle w:val="Heading10"/>
        <w:spacing w:before="280" w:after="120"/>
      </w:pPr>
      <w:r>
        <w:t>1. Document Control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226"/>
      </w:tblGrid>
      <w:tr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9"/>
                <w:szCs w:val="19"/>
              </w:rPr>
              <w:t>Item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9"/>
                <w:szCs w:val="19"/>
              </w:rPr>
              <w:t>Detail</w:t>
            </w:r>
          </w:p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Document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FRD – Bihar Gramin Bank (BGB) channel enablement</w:t>
            </w:r>
          </w:p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Application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inSURE 2.0 – Sales app (MERN); Ingenium for receipting</w:t>
            </w:r>
          </w:p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Channel type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Banca – RRB (Regional Rural Bank)</w:t>
            </w:r>
          </w:p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Version / Date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0.1 Draft / 05-Oct-2026</w:t>
            </w:r>
          </w:p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Prepared by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Project Manager, INSURE2.0</w:t>
            </w:r>
          </w:p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CR number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To be confirmed</w:t>
            </w:r>
          </w:p>
        </w:tc>
      </w:tr>
    </w:tbl>
    <w:p>
      <w:pPr>
        <w:pStyle w:val="Heading10"/>
        <w:spacing w:before="280" w:after="120"/>
      </w:pPr>
      <w:r>
        <w:t>2. Overview</w:t>
      </w:r>
    </w:p>
    <w:p>
      <w:pPr>
        <w:spacing w:after="100"/>
      </w:pPr>
      <w:r>
        <w:t>Bihar Gramin Bank (BGB) is onboarded as a new RRB channel in inSURE 2.0 to source new business for 10 Canara HSBC Life products. Setup replicates the existing RRB configuration, with BGB-specific payment, product, hierarchy and receipting rules.</w:t>
      </w:r>
    </w:p>
    <w:p>
      <w:pPr>
        <w:pStyle w:val="Heading10"/>
        <w:spacing w:before="280" w:after="120"/>
      </w:pPr>
      <w:r>
        <w:t>3. Scope</w:t>
      </w:r>
    </w:p>
    <w:p>
      <w:pPr>
        <w:spacing w:after="100"/>
      </w:pPr>
      <w:r>
        <w:rPr>
          <w:b/>
          <w:bCs/>
        </w:rPr>
        <w:t>In scope</w:t>
      </w:r>
    </w:p>
    <w:p>
      <w:pPr>
        <w:pStyle w:val="ListParagraph"/>
        <w:numPr>
          <w:ilvl w:val="0"/>
          <w:numId w:val="2"/>
        </w:numPr>
      </w:pPr>
      <w:r>
        <w:t>New channel "Bihar Gramin Bank" in inSURE 2.0 Sales app</w:t>
      </w:r>
    </w:p>
    <w:p>
      <w:pPr>
        <w:pStyle w:val="ListParagraph"/>
        <w:numPr>
          <w:ilvl w:val="0"/>
          <w:numId w:val="2"/>
        </w:numPr>
      </w:pPr>
      <w:r>
        <w:t>Channel display name "BGB" on proposal form</w:t>
      </w:r>
    </w:p>
    <w:p>
      <w:pPr>
        <w:pStyle w:val="ListParagraph"/>
        <w:numPr>
          <w:ilvl w:val="0"/>
          <w:numId w:val="2"/>
        </w:numPr>
      </w:pPr>
      <w:r>
        <w:t>Patch binding rules for JV and Sales hierarchy</w:t>
      </w:r>
    </w:p>
    <w:p>
      <w:pPr>
        <w:pStyle w:val="ListParagraph"/>
        <w:numPr>
          <w:ilvl w:val="0"/>
          <w:numId w:val="2"/>
        </w:numPr>
      </w:pPr>
      <w:r>
        <w:t>Post-RFI payment options restricted to 3 modes</w:t>
      </w:r>
    </w:p>
    <w:p>
      <w:pPr>
        <w:pStyle w:val="ListParagraph"/>
        <w:numPr>
          <w:ilvl w:val="0"/>
          <w:numId w:val="2"/>
        </w:numPr>
      </w:pPr>
      <w:r>
        <w:t>New CMS bank partner code in Ingenium, synced at receipt creation</w:t>
      </w:r>
    </w:p>
    <w:p>
      <w:pPr>
        <w:pStyle w:val="ListParagraph"/>
        <w:numPr>
          <w:ilvl w:val="0"/>
          <w:numId w:val="2"/>
        </w:numPr>
      </w:pPr>
      <w:r>
        <w:t>Product enablement for 10 products</w:t>
      </w:r>
    </w:p>
    <w:p>
      <w:pPr>
        <w:spacing w:after="100"/>
      </w:pPr>
      <w:r>
        <w:rPr>
          <w:b/>
          <w:bCs/>
        </w:rPr>
        <w:t>Out of scope</w:t>
      </w:r>
    </w:p>
    <w:p>
      <w:pPr>
        <w:pStyle w:val="ListParagraph"/>
        <w:numPr>
          <w:ilvl w:val="0"/>
          <w:numId w:val="2"/>
        </w:numPr>
      </w:pPr>
      <w:r>
        <w:t>Changes to login access</w:t>
      </w:r>
    </w:p>
    <w:p>
      <w:pPr>
        <w:pStyle w:val="ListParagraph"/>
        <w:numPr>
          <w:ilvl w:val="0"/>
          <w:numId w:val="2"/>
        </w:numPr>
      </w:pPr>
      <w:r>
        <w:t>Changes to minimum monthly premium collection rules</w:t>
      </w:r>
    </w:p>
    <w:p>
      <w:pPr>
        <w:pStyle w:val="ListParagraph"/>
        <w:numPr>
          <w:ilvl w:val="0"/>
          <w:numId w:val="2"/>
        </w:numPr>
      </w:pPr>
      <w:r>
        <w:t>New product development or product feature changes</w:t>
      </w:r>
    </w:p>
    <w:p>
      <w:pPr>
        <w:pStyle w:val="Heading10"/>
        <w:spacing w:before="280" w:after="120"/>
      </w:pPr>
      <w:r>
        <w:t>4. Functional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3600"/>
        <w:gridCol w:w="1500"/>
        <w:gridCol w:w="3026"/>
      </w:tblGrid>
      <w:tr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9"/>
                <w:szCs w:val="19"/>
              </w:rPr>
              <w:t>System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FR-01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Create new channel "Bihar Gramin Bank" in inSURE 2.0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inSURE 2.0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Channel available in channel master and mapping screens</w:t>
            </w:r>
          </w:p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FR-02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No change in login access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inSURE 2.0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Existing login flow works unchanged for BGB users</w:t>
            </w:r>
          </w:p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FR-03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Users will be CHL employees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inSURE 2.0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Only CHL employee IDs mapped to BGB can log in and source</w:t>
            </w:r>
          </w:p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FR-04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Patch binding: all branches mapped to the channel in JV hierarchy and all SPs mapped to the channel in Sales hierarchy available for sourcing (rule as proposed for MPGB)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inSURE 2.0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Only mapped branches and SPs appear in branch / SP selection</w:t>
            </w:r>
          </w:p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FR-05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Channel name on proposal form = "BGB"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inSURE 2.0 (proposal PDF)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Generated proposal form shows "BGB"</w:t>
            </w:r>
          </w:p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FR-06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Only 3 Post-RFI payment options: Cheque Post RFI, UPI 2.0, Payment Post RFI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inSURE 2.0 payment page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No other payment mode visible or selectable for BGB</w:t>
            </w:r>
          </w:p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FR-07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New CMS bank partner code created in Ingenium and synced while creating the receipt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Ingenium, inSURE 2.0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Receipt carries BGB CMS bank code</w:t>
            </w:r>
          </w:p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FR-08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No change in minimum monthly premium collection for monthly frequency; existing RRB rule replicated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inSURE 2.0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Monthly cases follow current RRB rule</w:t>
            </w:r>
          </w:p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FR-09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Enable 10 products listed in Section 5 for new business sourcing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inSURE 2.0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Only listed products available for BGB</w:t>
            </w:r>
          </w:p>
        </w:tc>
      </w:tr>
    </w:tbl>
    <w:p>
      <w:pPr>
        <w:pStyle w:val="Heading10"/>
        <w:spacing w:before="280" w:after="120"/>
      </w:pPr>
      <w:r>
        <w:t>5. Product Enablement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6326"/>
        <w:gridCol w:w="2000"/>
      </w:tblGrid>
      <w:tr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9"/>
                <w:szCs w:val="19"/>
              </w:rPr>
              <w:t>Product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9"/>
                <w:szCs w:val="19"/>
              </w:rPr>
              <w:t>Plan type</w:t>
            </w:r>
          </w:p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Canara HSBC Life Insurance iSelect Guaranteed Future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TBC</w:t>
            </w:r>
          </w:p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2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Canara HSBC Life Insurance Smart Guaranteed Pension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TBC</w:t>
            </w:r>
          </w:p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3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Canara HSBC Life Insurance Guaranteed Fortune Plan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TBC</w:t>
            </w:r>
          </w:p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4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Canara HSBC Life Insurance POS – Guaranteed Fortune Plan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TBC</w:t>
            </w:r>
          </w:p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5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Canara HSBC Life Insurance Promise4Future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TBC</w:t>
            </w:r>
          </w:p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6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Canara HSBC Guaranteed Assured Income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TBC</w:t>
            </w:r>
          </w:p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7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Canara HSBC Life Insurance Promise4Life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TBC</w:t>
            </w:r>
          </w:p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8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Canara HSBC Life Insurance IncomeNow Plan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TBC</w:t>
            </w:r>
          </w:p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9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Canara HSBC Life Insurance Promise 2 Protect Plan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TBC</w:t>
            </w:r>
          </w:p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10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Canara HSBC iSelect Smart360 Term Plan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TBC</w:t>
            </w:r>
          </w:p>
        </w:tc>
      </w:tr>
    </w:tbl>
    <w:p>
      <w:pPr>
        <w:pStyle w:val="Heading10"/>
        <w:spacing w:before="280" w:after="120"/>
      </w:pPr>
      <w:r>
        <w:t>6. Dependencies</w:t>
      </w:r>
    </w:p>
    <w:p>
      <w:pPr>
        <w:pStyle w:val="ListParagraph"/>
        <w:numPr>
          <w:ilvl w:val="0"/>
          <w:numId w:val="2"/>
        </w:numPr>
      </w:pPr>
      <w:r>
        <w:t>Ingenium: creation of BGB CMS bank partner code and receipt sync</w:t>
      </w:r>
    </w:p>
    <w:p>
      <w:pPr>
        <w:pStyle w:val="ListParagraph"/>
        <w:numPr>
          <w:ilvl w:val="0"/>
          <w:numId w:val="2"/>
        </w:numPr>
      </w:pPr>
      <w:r>
        <w:t>JV and Sales hierarchy data for BGB branches and SPs</w:t>
      </w:r>
    </w:p>
    <w:p>
      <w:pPr>
        <w:pStyle w:val="ListParagraph"/>
        <w:numPr>
          <w:ilvl w:val="0"/>
          <w:numId w:val="2"/>
        </w:numPr>
      </w:pPr>
      <w:r>
        <w:t>MPGB patch binding rules finalised (BGB reuses them)</w:t>
      </w:r>
    </w:p>
    <w:p>
      <w:pPr>
        <w:pStyle w:val="Heading10"/>
        <w:spacing w:before="280" w:after="120"/>
      </w:pPr>
      <w:r>
        <w:t>7. Open Points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6326"/>
        <w:gridCol w:w="2000"/>
      </w:tblGrid>
      <w:tr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9"/>
                <w:szCs w:val="19"/>
              </w:rPr>
              <w:t>Open point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9"/>
                <w:szCs w:val="19"/>
              </w:rPr>
              <w:t>Owner</w:t>
            </w:r>
          </w:p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Confirm CR number and release date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Business</w:t>
            </w:r>
          </w:p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2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Confirm patch binding rule reference – requirement cites MPGB; confirm it applies as-is to BGB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Business / IT</w:t>
            </w:r>
          </w:p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3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Share BGB CMS bank partner code and payment-option mapping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Ingenium team</w:t>
            </w:r>
          </w:p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4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Confirm plan type (Traditional / ULIP) per product and FNA recommendation rules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Product</w:t>
            </w:r>
          </w:p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5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Confirm VVC applicability for BGB (not stated in requirement)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Business</w:t>
            </w:r>
          </w:p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6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Confirm "Gramin" spelling for masters and display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Business</w:t>
            </w:r>
          </w:p>
        </w:tc>
      </w:tr>
    </w:tbl>
    <w:p>
      <w:pPr>
        <w:pStyle w:val="Heading10"/>
        <w:spacing w:before="280" w:after="120"/>
      </w:pPr>
      <w:r>
        <w:t>8. UAT Scenarios</w:t>
      </w:r>
    </w:p>
    <w:p>
      <w:pPr>
        <w:pStyle w:val="ListParagraph"/>
        <w:numPr>
          <w:ilvl w:val="0"/>
          <w:numId w:val="3"/>
        </w:numPr>
      </w:pPr>
      <w:r>
        <w:t>Login as CHL employee mapped to BGB; channel shows Bihar Gramin Bank</w:t>
      </w:r>
    </w:p>
    <w:p>
      <w:pPr>
        <w:pStyle w:val="ListParagraph"/>
        <w:numPr>
          <w:ilvl w:val="0"/>
          <w:numId w:val="3"/>
        </w:numPr>
      </w:pPr>
      <w:r>
        <w:t>Branch / SP lists show only those mapped in JV and Sales hierarchy</w:t>
      </w:r>
    </w:p>
    <w:p>
      <w:pPr>
        <w:pStyle w:val="ListParagraph"/>
        <w:numPr>
          <w:ilvl w:val="0"/>
          <w:numId w:val="3"/>
        </w:numPr>
      </w:pPr>
      <w:r>
        <w:t>Only the 10 listed products are available</w:t>
      </w:r>
    </w:p>
    <w:p>
      <w:pPr>
        <w:pStyle w:val="ListParagraph"/>
        <w:numPr>
          <w:ilvl w:val="0"/>
          <w:numId w:val="3"/>
        </w:numPr>
      </w:pPr>
      <w:r>
        <w:t>Payment page shows only Cheque Post RFI, UPI 2.0, Payment Post RFI</w:t>
      </w:r>
    </w:p>
    <w:p>
      <w:pPr>
        <w:pStyle w:val="ListParagraph"/>
        <w:numPr>
          <w:ilvl w:val="0"/>
          <w:numId w:val="3"/>
        </w:numPr>
      </w:pPr>
      <w:r>
        <w:t>Receipt in Ingenium carries BGB CMS bank code</w:t>
      </w:r>
    </w:p>
    <w:p>
      <w:pPr>
        <w:pStyle w:val="ListParagraph"/>
        <w:numPr>
          <w:ilvl w:val="0"/>
          <w:numId w:val="3"/>
        </w:numPr>
      </w:pPr>
      <w:r>
        <w:t>Monthly frequency case follows RRB minimum premium rule</w:t>
      </w:r>
    </w:p>
    <w:p>
      <w:pPr>
        <w:pStyle w:val="ListParagraph"/>
        <w:numPr>
          <w:ilvl w:val="0"/>
          <w:numId w:val="3"/>
        </w:numPr>
      </w:pPr>
      <w:r>
        <w:t>Proposal PDF shows "BGB"</w:t>
      </w:r>
    </w:p>
    <w:p>
      <w:pPr>
        <w:pStyle w:val="Heading10"/>
        <w:spacing w:before="280" w:after="120"/>
      </w:pPr>
      <w:r>
        <w:t>9. Sign-off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500"/>
        <w:gridCol w:w="2526"/>
      </w:tblGrid>
      <w:tr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9"/>
                <w:szCs w:val="19"/>
              </w:rPr>
              <w:t>Role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9"/>
                <w:szCs w:val="19"/>
              </w:rPr>
              <w:t>Name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bCs/>
                <w:sz w:val="19"/>
                <w:szCs w:val="19"/>
              </w:rPr>
              <w:t>Date</w:t>
            </w:r>
          </w:p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Business owner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Project Manager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IT / Development lead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</w:tc>
      </w:tr>
      <w:tr>
        <w:tblPrEx>
          <w:tblW w:w="9026" w:type="dxa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0"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QA lead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</w:tc>
      </w:tr>
    </w:tbl>
    <w:p/>
    <w:sectPr>
      <w:headerReference w:type="default" r:id="rId4"/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49" type="#_x0000_t136" style="width:46.18pt;height:9.94pt;margin-top:796.96pt;margin-left:274.56pt;mso-position-horizontal-relative:page;mso-position-vertical-relative:page;position:absolute;z-index:251658240" fillcolor="#1a73e8" stroked="f">
          <v:fill opacity="45875f"/>
          <v:path strokeok="f"/>
          <v:textpath style="font-family:Arial;v-text-align:left" string="Confidential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9F9926C"/>
    <w:multiLevelType w:val="hybridMultilevel"/>
    <w:tmpl w:val="00000000"/>
    <w:lvl w:ilvl="0" w:tentative="1">
      <w:start w:val="1"/>
      <w:numFmt w:val="bullet"/>
      <w:lvlText w:val="•"/>
      <w:lvlJc w:val="left"/>
      <w:pPr>
        <w:ind w:left="540" w:hanging="27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4217FA09"/>
    <w:multiLevelType w:val="hybridMultilevel"/>
    <w:tmpl w:val="000000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42C912AA"/>
    <w:multiLevelType w:val="hybridMultilevel"/>
    <w:tmpl w:val="00000000"/>
    <w:lvl w:ilvl="0" w:tentative="1">
      <w:start w:val="1"/>
      <w:numFmt w:val="decimal"/>
      <w:lvlText w:val="%1."/>
      <w:lvlJc w:val="left"/>
      <w:pPr>
        <w:ind w:left="54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qFormat/>
    <w:rPr>
      <w:sz w:val="56"/>
      <w:szCs w:val="56"/>
    </w:rPr>
  </w:style>
  <w:style w:type="paragraph" w:customStyle="1" w:styleId="Heading1">
    <w:name w:val="Heading 1"/>
    <w:qFormat/>
    <w:rPr>
      <w:color w:val="2E74B5"/>
      <w:sz w:val="32"/>
      <w:szCs w:val="32"/>
    </w:rPr>
  </w:style>
  <w:style w:type="paragraph" w:customStyle="1" w:styleId="Heading2">
    <w:name w:val="Heading 2"/>
    <w:qFormat/>
    <w:rPr>
      <w:color w:val="2E74B5"/>
      <w:sz w:val="26"/>
      <w:szCs w:val="26"/>
    </w:rPr>
  </w:style>
  <w:style w:type="paragraph" w:customStyle="1" w:styleId="Heading3">
    <w:name w:val="Heading 3"/>
    <w:qFormat/>
    <w:rPr>
      <w:color w:val="1F4D78"/>
      <w:sz w:val="24"/>
      <w:szCs w:val="24"/>
    </w:rPr>
  </w:style>
  <w:style w:type="paragraph" w:customStyle="1" w:styleId="Heading4">
    <w:name w:val="Heading 4"/>
    <w:qFormat/>
    <w:rPr>
      <w:i/>
      <w:iCs/>
      <w:color w:val="2E74B5"/>
    </w:rPr>
  </w:style>
  <w:style w:type="paragraph" w:customStyle="1" w:styleId="Heading5">
    <w:name w:val="Heading 5"/>
    <w:qFormat/>
    <w:rPr>
      <w:color w:val="2E74B5"/>
    </w:rPr>
  </w:style>
  <w:style w:type="paragraph" w:customStyle="1" w:styleId="Heading6">
    <w:name w:val="Heading 6"/>
    <w:qFormat/>
    <w:rPr>
      <w:color w:val="1F4D78"/>
    </w:rPr>
  </w:style>
  <w:style w:type="paragraph" w:styleId="Strong">
    <w:name w:val="Strong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_0"/>
    <w:qFormat/>
    <w:pPr>
      <w:outlineLvl w:val="0"/>
    </w:pPr>
    <w:rPr>
      <w:b/>
      <w:bCs/>
      <w:color w:val="1F3864"/>
      <w:sz w:val="28"/>
      <w:szCs w:val="28"/>
    </w:rPr>
  </w:style>
  <w:style w:type="paragraph" w:customStyle="1" w:styleId="Title0">
    <w:name w:val="Title_0"/>
    <w:rPr>
      <w:b/>
      <w:bCs/>
      <w:color w:val="1F3864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2026-10-05T08:17:13Z</dcterms:created>
  <dcterms:modified xsi:type="dcterms:W3CDTF">2026-10-05T08:17:14Z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SARadarClassification">
    <vt:lpwstr>Confidential</vt:lpwstr>
  </property>
  <property fmtid="{D5CDD505-2E9C-101B-9397-08002B2CF9AE}" pid="3" name="SISARadarPurpose">
    <vt:lpwstr/>
  </property>
</Properties>
</file>