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1.2.0 -->
  <w:body>
    <w:p>
      <w:pPr>
        <w:pStyle w:val="Heading1"/>
      </w:pPr>
      <w:r>
        <w:t>FRD – New Channel Enablement: Odisha Grameen Bank (OGB) in ISNP &amp; INSURE2.0</w:t>
      </w:r>
    </w:p>
    <w:p>
      <w:r>
        <w:t>Oct 5, 2026</w:t>
      </w:r>
      <w:r>
        <w:t xml:space="preserve"> · </w:t>
      </w:r>
      <w:r>
        <w:t>@Dinesh Mehta</w:t>
      </w:r>
    </w:p>
    <w:p>
      <w:pPr>
        <w:pStyle w:val="Heading2"/>
      </w:pPr>
      <w:r>
        <w:t>1. Overview</w:t>
      </w:r>
    </w:p>
    <w:p>
      <w:r>
        <w:t>Odisha Grameen Bank (OGB) is onboarded as a new Banca channel in inSURE / INSURE2.0 and ISNP, sourcing new business for 14 HSBC Life products. Setup replicates the existing RRB (Regional Rural Bank) and Banca Non-HSBC / Non-Agency configuration, with OGB-specific payment, product and VVC rules.</w:t>
      </w:r>
    </w:p>
    <w:tbl>
      <w:tblPr>
        <w:tblStyle w:val="TableGrid"/>
        <w:tblW w:w="0" w:type="auto"/>
        <w:tblLayout w:type="fixed"/>
        <w:tblLook w:val="0420"/>
      </w:tblPr>
      <w:tblGrid>
        <w:gridCol w:w="4680"/>
        <w:gridCol w:w="4680"/>
      </w:tblGrid>
      <w:tr>
        <w:tblPrEx>
          <w:tblW w:w="0" w:type="auto"/>
          <w:tblLayout w:type="fixed"/>
          <w:tblLook w:val="0420"/>
        </w:tblPrEx>
        <w:trPr>
          <w:tblHeader/>
        </w:trPr>
        <w:tc>
          <w:tcPr>
            <w:tcW w:w="4680" w:type="dxa"/>
            <w:shd w:val="clear" w:color="auto" w:fill="F2F2F2"/>
          </w:tcPr>
          <w:p>
            <w:r>
              <w:t>Item</w:t>
            </w:r>
          </w:p>
        </w:tc>
        <w:tc>
          <w:tcPr>
            <w:tcW w:w="4680" w:type="dxa"/>
            <w:shd w:val="clear" w:color="auto" w:fill="F2F2F2"/>
          </w:tcPr>
          <w:p>
            <w:r>
              <w:t>Detail</w:t>
            </w:r>
          </w:p>
        </w:tc>
      </w:tr>
      <w:tr>
        <w:tblPrEx>
          <w:tblW w:w="0" w:type="auto"/>
          <w:tblLayout w:type="fixed"/>
          <w:tblLook w:val="0420"/>
        </w:tblPrEx>
        <w:tc>
          <w:tcPr>
            <w:tcW w:w="4680" w:type="dxa"/>
          </w:tcPr>
          <w:p>
            <w:r>
              <w:t>CR / Ticket</w:t>
            </w:r>
          </w:p>
        </w:tc>
        <w:tc>
          <w:tcPr>
            <w:tcW w:w="4680" w:type="dxa"/>
          </w:tcPr>
          <w:p>
            <w:r>
              <w:t>45668 – New Bank Onboarding: Odisha Grameen Bank (OGB) (full CR number to confirm)</w:t>
            </w:r>
          </w:p>
        </w:tc>
      </w:tr>
      <w:tr>
        <w:tblPrEx>
          <w:tblW w:w="0" w:type="auto"/>
          <w:tblLayout w:type="fixed"/>
          <w:tblLook w:val="0420"/>
        </w:tblPrEx>
        <w:tc>
          <w:tcPr>
            <w:tcW w:w="4680" w:type="dxa"/>
          </w:tcPr>
          <w:p>
            <w:r>
              <w:t>Systems</w:t>
            </w:r>
          </w:p>
        </w:tc>
        <w:tc>
          <w:tcPr>
            <w:tcW w:w="4680" w:type="dxa"/>
          </w:tcPr>
          <w:p>
            <w:r>
              <w:t>inSURE / INSURE2.0 (MERN), ISNP, Ingenium</w:t>
            </w:r>
          </w:p>
        </w:tc>
      </w:tr>
      <w:tr>
        <w:tblPrEx>
          <w:tblW w:w="0" w:type="auto"/>
          <w:tblLayout w:type="fixed"/>
          <w:tblLook w:val="0420"/>
        </w:tblPrEx>
        <w:tc>
          <w:tcPr>
            <w:tcW w:w="4680" w:type="dxa"/>
          </w:tcPr>
          <w:p>
            <w:r>
              <w:t>Channel type</w:t>
            </w:r>
          </w:p>
        </w:tc>
        <w:tc>
          <w:tcPr>
            <w:tcW w:w="4680" w:type="dxa"/>
          </w:tcPr>
          <w:p>
            <w:r>
              <w:t>Banca – RRB (Non-HSBC, Non-Agency)</w:t>
            </w:r>
          </w:p>
        </w:tc>
      </w:tr>
      <w:tr>
        <w:tblPrEx>
          <w:tblW w:w="0" w:type="auto"/>
          <w:tblLayout w:type="fixed"/>
          <w:tblLook w:val="0420"/>
        </w:tblPrEx>
        <w:tc>
          <w:tcPr>
            <w:tcW w:w="4680" w:type="dxa"/>
          </w:tcPr>
          <w:p>
            <w:r>
              <w:t>Reference channel</w:t>
            </w:r>
          </w:p>
        </w:tc>
        <w:tc>
          <w:tcPr>
            <w:tcW w:w="4680" w:type="dxa"/>
          </w:tcPr>
          <w:p>
            <w:r>
              <w:t>TGB (logic to be replicated)</w:t>
            </w:r>
          </w:p>
        </w:tc>
      </w:tr>
      <w:tr>
        <w:tblPrEx>
          <w:tblW w:w="0" w:type="auto"/>
          <w:tblLayout w:type="fixed"/>
          <w:tblLook w:val="0420"/>
        </w:tblPrEx>
        <w:tc>
          <w:tcPr>
            <w:tcW w:w="4680" w:type="dxa"/>
          </w:tcPr>
          <w:p>
            <w:r>
              <w:t>Related CR</w:t>
            </w:r>
          </w:p>
        </w:tc>
        <w:tc>
          <w:tcPr>
            <w:tcW w:w="4680" w:type="dxa"/>
          </w:tcPr>
          <w:p>
            <w:r>
              <w:t>43923 – VVC submission restriction</w:t>
            </w:r>
          </w:p>
        </w:tc>
      </w:tr>
      <w:tr>
        <w:tblPrEx>
          <w:tblW w:w="0" w:type="auto"/>
          <w:tblLayout w:type="fixed"/>
          <w:tblLook w:val="0420"/>
        </w:tblPrEx>
        <w:tc>
          <w:tcPr>
            <w:tcW w:w="4680" w:type="dxa"/>
          </w:tcPr>
          <w:p>
            <w:r>
              <w:t>Version</w:t>
            </w:r>
          </w:p>
        </w:tc>
        <w:tc>
          <w:tcPr>
            <w:tcW w:w="4680" w:type="dxa"/>
          </w:tcPr>
          <w:p>
            <w:r>
              <w:t>0.1 – Draft</w:t>
            </w:r>
          </w:p>
        </w:tc>
      </w:tr>
    </w:tbl>
    <w:p>
      <w:r>
        <w:rPr>
          <w:b/>
        </w:rPr>
        <w:t>Objective:</w:t>
      </w:r>
      <w:r>
        <w:t xml:space="preserve"> enable OGB to log proposals end to end in inSURE with the correct channel name, products, payment modes, CMS bank code and VVC controls.</w:t>
      </w:r>
    </w:p>
    <w:p>
      <w:pPr>
        <w:pStyle w:val="Heading2"/>
      </w:pPr>
      <w:r>
        <w:t>2. Scope</w:t>
      </w:r>
    </w:p>
    <w:p>
      <w:r>
        <w:rPr>
          <w:b/>
        </w:rPr>
        <w:t>In scope</w:t>
      </w:r>
    </w:p>
    <w:p>
      <w:pPr>
        <w:pStyle w:val="ListParagraph"/>
        <w:numPr>
          <w:ilvl w:val="0"/>
          <w:numId w:val="2"/>
        </w:numPr>
      </w:pPr>
      <w:r>
        <w:t>New channel master setup for OGB in inSURE / INSURE2.0 and ISNP</w:t>
      </w:r>
    </w:p>
    <w:p>
      <w:pPr>
        <w:pStyle w:val="ListParagraph"/>
        <w:numPr>
          <w:ilvl w:val="0"/>
          <w:numId w:val="2"/>
        </w:numPr>
      </w:pPr>
      <w:r>
        <w:t>Channel short name and proposal form display name</w:t>
      </w:r>
    </w:p>
    <w:p>
      <w:pPr>
        <w:pStyle w:val="ListParagraph"/>
        <w:numPr>
          <w:ilvl w:val="0"/>
          <w:numId w:val="2"/>
        </w:numPr>
      </w:pPr>
      <w:r>
        <w:t>Post-RFI payment options restricted to 3 modes</w:t>
      </w:r>
    </w:p>
    <w:p>
      <w:pPr>
        <w:pStyle w:val="ListParagraph"/>
        <w:numPr>
          <w:ilvl w:val="0"/>
          <w:numId w:val="2"/>
        </w:numPr>
      </w:pPr>
      <w:r>
        <w:t>New CMS bank partner code in Ingenium, synced at receipt creation</w:t>
      </w:r>
    </w:p>
    <w:p>
      <w:pPr>
        <w:pStyle w:val="ListParagraph"/>
        <w:numPr>
          <w:ilvl w:val="0"/>
          <w:numId w:val="2"/>
        </w:numPr>
      </w:pPr>
      <w:r>
        <w:t>Product enablement for 14 products and FNA product recommendations</w:t>
      </w:r>
    </w:p>
    <w:p>
      <w:pPr>
        <w:pStyle w:val="ListParagraph"/>
        <w:numPr>
          <w:ilvl w:val="0"/>
          <w:numId w:val="2"/>
        </w:numPr>
      </w:pPr>
      <w:r>
        <w:t>Mandatory VVC with existing options</w:t>
      </w:r>
    </w:p>
    <w:p>
      <w:r>
        <w:rPr>
          <w:b/>
        </w:rPr>
        <w:t>Out of scope</w:t>
      </w:r>
    </w:p>
    <w:p>
      <w:pPr>
        <w:pStyle w:val="ListParagraph"/>
        <w:numPr>
          <w:ilvl w:val="0"/>
          <w:numId w:val="3"/>
        </w:numPr>
      </w:pPr>
      <w:r>
        <w:t>Changes to the buying journey (existing Banca Non-HSBC / Non-Agency journey reused)</w:t>
      </w:r>
    </w:p>
    <w:p>
      <w:pPr>
        <w:pStyle w:val="ListParagraph"/>
        <w:numPr>
          <w:ilvl w:val="0"/>
          <w:numId w:val="3"/>
        </w:numPr>
      </w:pPr>
      <w:r>
        <w:t>Changes to minimum monthly premium collection rules</w:t>
      </w:r>
    </w:p>
    <w:p>
      <w:pPr>
        <w:pStyle w:val="ListParagraph"/>
        <w:numPr>
          <w:ilvl w:val="0"/>
          <w:numId w:val="3"/>
        </w:numPr>
      </w:pPr>
      <w:r>
        <w:t>New product development or product feature changes</w:t>
      </w:r>
    </w:p>
    <w:p>
      <w:pPr>
        <w:pStyle w:val="Heading2"/>
      </w:pPr>
      <w:r>
        <w:t>3. Functional requirements</w:t>
      </w:r>
    </w:p>
    <w:tbl>
      <w:tblPr>
        <w:tblStyle w:val="TableGrid"/>
        <w:tblW w:w="0" w:type="auto"/>
        <w:tblLayout w:type="fixed"/>
        <w:tblLook w:val="0420"/>
      </w:tblPr>
      <w:tblGrid>
        <w:gridCol w:w="2340"/>
        <w:gridCol w:w="2340"/>
        <w:gridCol w:w="2340"/>
        <w:gridCol w:w="2340"/>
      </w:tblGrid>
      <w:tr>
        <w:tblPrEx>
          <w:tblW w:w="0" w:type="auto"/>
          <w:tblLayout w:type="fixed"/>
          <w:tblLook w:val="0420"/>
        </w:tblPrEx>
        <w:trPr>
          <w:tblHeader/>
        </w:trPr>
        <w:tc>
          <w:tcPr>
            <w:tcW w:w="2340" w:type="dxa"/>
            <w:shd w:val="clear" w:color="auto" w:fill="F2F2F2"/>
          </w:tcPr>
          <w:p>
            <w:r>
              <w:t>ID</w:t>
            </w:r>
          </w:p>
        </w:tc>
        <w:tc>
          <w:tcPr>
            <w:tcW w:w="2340" w:type="dxa"/>
            <w:shd w:val="clear" w:color="auto" w:fill="F2F2F2"/>
          </w:tcPr>
          <w:p>
            <w:r>
              <w:t>Requirement</w:t>
            </w:r>
          </w:p>
        </w:tc>
        <w:tc>
          <w:tcPr>
            <w:tcW w:w="2340" w:type="dxa"/>
            <w:shd w:val="clear" w:color="auto" w:fill="F2F2F2"/>
          </w:tcPr>
          <w:p>
            <w:r>
              <w:t>System</w:t>
            </w:r>
          </w:p>
        </w:tc>
        <w:tc>
          <w:tcPr>
            <w:tcW w:w="2340" w:type="dxa"/>
            <w:shd w:val="clear" w:color="auto" w:fill="F2F2F2"/>
          </w:tcPr>
          <w:p>
            <w:r>
              <w:t>Acceptance criteria</w:t>
            </w:r>
          </w:p>
        </w:tc>
      </w:tr>
      <w:tr>
        <w:tblPrEx>
          <w:tblW w:w="0" w:type="auto"/>
          <w:tblLayout w:type="fixed"/>
          <w:tblLook w:val="0420"/>
        </w:tblPrEx>
        <w:tc>
          <w:tcPr>
            <w:tcW w:w="2340" w:type="dxa"/>
          </w:tcPr>
          <w:p>
            <w:r>
              <w:t>FR-01</w:t>
            </w:r>
          </w:p>
        </w:tc>
        <w:tc>
          <w:tcPr>
            <w:tcW w:w="2340" w:type="dxa"/>
          </w:tcPr>
          <w:p>
            <w:r>
              <w:t>Create new channel "Odisha Grameen Bank"</w:t>
            </w:r>
          </w:p>
        </w:tc>
        <w:tc>
          <w:tcPr>
            <w:tcW w:w="2340" w:type="dxa"/>
          </w:tcPr>
          <w:p>
            <w:r>
              <w:t>inSURE / INSURE2.0, ISNP</w:t>
            </w:r>
          </w:p>
        </w:tc>
        <w:tc>
          <w:tcPr>
            <w:tcW w:w="2340" w:type="dxa"/>
          </w:tcPr>
          <w:p>
            <w:r>
              <w:t>Channel selectable in login/channel mapping; users mapped to OGB can source business</w:t>
            </w:r>
          </w:p>
        </w:tc>
      </w:tr>
      <w:tr>
        <w:tblPrEx>
          <w:tblW w:w="0" w:type="auto"/>
          <w:tblLayout w:type="fixed"/>
          <w:tblLook w:val="0420"/>
        </w:tblPrEx>
        <w:tc>
          <w:tcPr>
            <w:tcW w:w="2340" w:type="dxa"/>
          </w:tcPr>
          <w:p>
            <w:r>
              <w:t>FR-02</w:t>
            </w:r>
          </w:p>
        </w:tc>
        <w:tc>
          <w:tcPr>
            <w:tcW w:w="2340" w:type="dxa"/>
          </w:tcPr>
          <w:p>
            <w:r>
              <w:t>Channel short name = "OGB"</w:t>
            </w:r>
          </w:p>
        </w:tc>
        <w:tc>
          <w:tcPr>
            <w:tcW w:w="2340" w:type="dxa"/>
          </w:tcPr>
          <w:p>
            <w:r>
              <w:t>inSURE, ISNP</w:t>
            </w:r>
          </w:p>
        </w:tc>
        <w:tc>
          <w:tcPr>
            <w:tcW w:w="2340" w:type="dxa"/>
          </w:tcPr>
          <w:p>
            <w:r>
              <w:t>Short name shown in channel lists, reports, MIS</w:t>
            </w:r>
          </w:p>
        </w:tc>
      </w:tr>
      <w:tr>
        <w:tblPrEx>
          <w:tblW w:w="0" w:type="auto"/>
          <w:tblLayout w:type="fixed"/>
          <w:tblLook w:val="0420"/>
        </w:tblPrEx>
        <w:tc>
          <w:tcPr>
            <w:tcW w:w="2340" w:type="dxa"/>
          </w:tcPr>
          <w:p>
            <w:r>
              <w:t>FR-03</w:t>
            </w:r>
          </w:p>
        </w:tc>
        <w:tc>
          <w:tcPr>
            <w:tcW w:w="2340" w:type="dxa"/>
          </w:tcPr>
          <w:p>
            <w:r>
              <w:t>Channel name on proposal form = "OGB"</w:t>
            </w:r>
          </w:p>
        </w:tc>
        <w:tc>
          <w:tcPr>
            <w:tcW w:w="2340" w:type="dxa"/>
          </w:tcPr>
          <w:p>
            <w:r>
              <w:t>inSURE (proposal PDF)</w:t>
            </w:r>
          </w:p>
        </w:tc>
        <w:tc>
          <w:tcPr>
            <w:tcW w:w="2340" w:type="dxa"/>
          </w:tcPr>
          <w:p>
            <w:r>
              <w:t>Generated proposal form displays "OGB"</w:t>
            </w:r>
          </w:p>
        </w:tc>
      </w:tr>
      <w:tr>
        <w:tblPrEx>
          <w:tblW w:w="0" w:type="auto"/>
          <w:tblLayout w:type="fixed"/>
          <w:tblLook w:val="0420"/>
        </w:tblPrEx>
        <w:tc>
          <w:tcPr>
            <w:tcW w:w="2340" w:type="dxa"/>
          </w:tcPr>
          <w:p>
            <w:r>
              <w:t>FR-04</w:t>
            </w:r>
          </w:p>
        </w:tc>
        <w:tc>
          <w:tcPr>
            <w:tcW w:w="2340" w:type="dxa"/>
          </w:tcPr>
          <w:p>
            <w:r>
              <w:t>Only 3 Post-RFI payment options: Cheque Post RFI, UPI 2.0, Payment Post RFI</w:t>
            </w:r>
          </w:p>
        </w:tc>
        <w:tc>
          <w:tcPr>
            <w:tcW w:w="2340" w:type="dxa"/>
          </w:tcPr>
          <w:p>
            <w:r>
              <w:t>inSURE payment page</w:t>
            </w:r>
          </w:p>
        </w:tc>
        <w:tc>
          <w:tcPr>
            <w:tcW w:w="2340" w:type="dxa"/>
          </w:tcPr>
          <w:p>
            <w:r>
              <w:t>No other payment mode visible or selectable for OGB</w:t>
            </w:r>
          </w:p>
        </w:tc>
      </w:tr>
      <w:tr>
        <w:tblPrEx>
          <w:tblW w:w="0" w:type="auto"/>
          <w:tblLayout w:type="fixed"/>
          <w:tblLook w:val="0420"/>
        </w:tblPrEx>
        <w:tc>
          <w:tcPr>
            <w:tcW w:w="2340" w:type="dxa"/>
          </w:tcPr>
          <w:p>
            <w:r>
              <w:t>FR-05</w:t>
            </w:r>
          </w:p>
        </w:tc>
        <w:tc>
          <w:tcPr>
            <w:tcW w:w="2340" w:type="dxa"/>
          </w:tcPr>
          <w:p>
            <w:r>
              <w:t>New CMS bank partner code created in Ingenium and synced at receipt creation</w:t>
            </w:r>
          </w:p>
        </w:tc>
        <w:tc>
          <w:tcPr>
            <w:tcW w:w="2340" w:type="dxa"/>
          </w:tcPr>
          <w:p>
            <w:r>
              <w:t>Ingenium, inSURE integration</w:t>
            </w:r>
          </w:p>
        </w:tc>
        <w:tc>
          <w:tcPr>
            <w:tcW w:w="2340" w:type="dxa"/>
          </w:tcPr>
          <w:p>
            <w:r>
              <w:t>Receipt carries OGB CMS bank code; code per payment option follows the payment method (TGB logic replicated)</w:t>
            </w:r>
          </w:p>
        </w:tc>
      </w:tr>
      <w:tr>
        <w:tblPrEx>
          <w:tblW w:w="0" w:type="auto"/>
          <w:tblLayout w:type="fixed"/>
          <w:tblLook w:val="0420"/>
        </w:tblPrEx>
        <w:tc>
          <w:tcPr>
            <w:tcW w:w="2340" w:type="dxa"/>
          </w:tcPr>
          <w:p>
            <w:r>
              <w:t>FR-06</w:t>
            </w:r>
          </w:p>
        </w:tc>
        <w:tc>
          <w:tcPr>
            <w:tcW w:w="2340" w:type="dxa"/>
          </w:tcPr>
          <w:p>
            <w:r>
              <w:t>Minimum monthly premium collection unchanged; existing RRB rule replicated</w:t>
            </w:r>
          </w:p>
        </w:tc>
        <w:tc>
          <w:tcPr>
            <w:tcW w:w="2340" w:type="dxa"/>
          </w:tcPr>
          <w:p>
            <w:r>
              <w:t>inSURE</w:t>
            </w:r>
          </w:p>
        </w:tc>
        <w:tc>
          <w:tcPr>
            <w:tcW w:w="2340" w:type="dxa"/>
          </w:tcPr>
          <w:p>
            <w:r>
              <w:t>Monthly frequency cases follow current RRB rule</w:t>
            </w:r>
          </w:p>
        </w:tc>
      </w:tr>
      <w:tr>
        <w:tblPrEx>
          <w:tblW w:w="0" w:type="auto"/>
          <w:tblLayout w:type="fixed"/>
          <w:tblLook w:val="0420"/>
        </w:tblPrEx>
        <w:tc>
          <w:tcPr>
            <w:tcW w:w="2340" w:type="dxa"/>
          </w:tcPr>
          <w:p>
            <w:r>
              <w:t>FR-07</w:t>
            </w:r>
          </w:p>
        </w:tc>
        <w:tc>
          <w:tcPr>
            <w:tcW w:w="2340" w:type="dxa"/>
          </w:tcPr>
          <w:p>
            <w:r>
              <w:t>Enable 14 products for OGB (Section 4)</w:t>
            </w:r>
          </w:p>
        </w:tc>
        <w:tc>
          <w:tcPr>
            <w:tcW w:w="2340" w:type="dxa"/>
          </w:tcPr>
          <w:p>
            <w:r>
              <w:t>inSURE, ISNP</w:t>
            </w:r>
          </w:p>
        </w:tc>
        <w:tc>
          <w:tcPr>
            <w:tcW w:w="2340" w:type="dxa"/>
          </w:tcPr>
          <w:p>
            <w:r>
              <w:t>Only listed products available for OGB</w:t>
            </w:r>
          </w:p>
        </w:tc>
      </w:tr>
      <w:tr>
        <w:tblPrEx>
          <w:tblW w:w="0" w:type="auto"/>
          <w:tblLayout w:type="fixed"/>
          <w:tblLook w:val="0420"/>
        </w:tblPrEx>
        <w:tc>
          <w:tcPr>
            <w:tcW w:w="2340" w:type="dxa"/>
          </w:tcPr>
          <w:p>
            <w:r>
              <w:t>FR-08</w:t>
            </w:r>
          </w:p>
        </w:tc>
        <w:tc>
          <w:tcPr>
            <w:tcW w:w="2340" w:type="dxa"/>
          </w:tcPr>
          <w:p>
            <w:r>
              <w:t>FNA tab "Product recommendations" shows only listed products on selection of Plan Type (Traditional / ULIP)</w:t>
            </w:r>
          </w:p>
        </w:tc>
        <w:tc>
          <w:tcPr>
            <w:tcW w:w="2340" w:type="dxa"/>
          </w:tcPr>
          <w:p>
            <w:r>
              <w:t>inSURE FNA</w:t>
            </w:r>
          </w:p>
        </w:tc>
        <w:tc>
          <w:tcPr>
            <w:tcW w:w="2340" w:type="dxa"/>
          </w:tcPr>
          <w:p>
            <w:r>
              <w:t>No other product recommended unless enabled for OGB</w:t>
            </w:r>
          </w:p>
        </w:tc>
      </w:tr>
      <w:tr>
        <w:tblPrEx>
          <w:tblW w:w="0" w:type="auto"/>
          <w:tblLayout w:type="fixed"/>
          <w:tblLook w:val="0420"/>
        </w:tblPrEx>
        <w:tc>
          <w:tcPr>
            <w:tcW w:w="2340" w:type="dxa"/>
          </w:tcPr>
          <w:p>
            <w:r>
              <w:t>FR-09</w:t>
            </w:r>
          </w:p>
        </w:tc>
        <w:tc>
          <w:tcPr>
            <w:tcW w:w="2340" w:type="dxa"/>
          </w:tcPr>
          <w:p>
            <w:r>
              <w:t>Buying journey unchanged; existing Banca Non-HSBC / Non-Agency journey replicated</w:t>
            </w:r>
          </w:p>
        </w:tc>
        <w:tc>
          <w:tcPr>
            <w:tcW w:w="2340" w:type="dxa"/>
          </w:tcPr>
          <w:p>
            <w:r>
              <w:t>inSURE</w:t>
            </w:r>
          </w:p>
        </w:tc>
        <w:tc>
          <w:tcPr>
            <w:tcW w:w="2340" w:type="dxa"/>
          </w:tcPr>
          <w:p>
            <w:r>
              <w:t>End-to-end journey matches reference channel</w:t>
            </w:r>
          </w:p>
        </w:tc>
      </w:tr>
      <w:tr>
        <w:tblPrEx>
          <w:tblW w:w="0" w:type="auto"/>
          <w:tblLayout w:type="fixed"/>
          <w:tblLook w:val="0420"/>
        </w:tblPrEx>
        <w:tc>
          <w:tcPr>
            <w:tcW w:w="2340" w:type="dxa"/>
          </w:tcPr>
          <w:p>
            <w:r>
              <w:t>FR-10</w:t>
            </w:r>
          </w:p>
        </w:tc>
        <w:tc>
          <w:tcPr>
            <w:tcW w:w="2340" w:type="dxa"/>
          </w:tcPr>
          <w:p>
            <w:r>
              <w:t>VVC mandatory = "Yes" with existing options "Start call" and "Share link"</w:t>
            </w:r>
          </w:p>
        </w:tc>
        <w:tc>
          <w:tcPr>
            <w:tcW w:w="2340" w:type="dxa"/>
          </w:tcPr>
          <w:p>
            <w:r>
              <w:t>inSURE</w:t>
            </w:r>
          </w:p>
        </w:tc>
        <w:tc>
          <w:tcPr>
            <w:tcW w:w="2340" w:type="dxa"/>
          </w:tcPr>
          <w:p>
            <w:r>
              <w:t>Proposal cannot be submitted without VVC</w:t>
            </w:r>
          </w:p>
        </w:tc>
      </w:tr>
      <w:tr>
        <w:tblPrEx>
          <w:tblW w:w="0" w:type="auto"/>
          <w:tblLayout w:type="fixed"/>
          <w:tblLook w:val="0420"/>
        </w:tblPrEx>
        <w:tc>
          <w:tcPr>
            <w:tcW w:w="2340" w:type="dxa"/>
          </w:tcPr>
          <w:p>
            <w:r>
              <w:t>FR-11</w:t>
            </w:r>
          </w:p>
        </w:tc>
        <w:tc>
          <w:tcPr>
            <w:tcW w:w="2340" w:type="dxa"/>
          </w:tcPr>
          <w:p>
            <w:r>
              <w:t>VVC submission restriction per CR 43923 applies to OGB</w:t>
            </w:r>
          </w:p>
        </w:tc>
        <w:tc>
          <w:tcPr>
            <w:tcW w:w="2340" w:type="dxa"/>
          </w:tcPr>
          <w:p>
            <w:r>
              <w:t>inSURE</w:t>
            </w:r>
          </w:p>
        </w:tc>
        <w:tc>
          <w:tcPr>
            <w:tcW w:w="2340" w:type="dxa"/>
          </w:tcPr>
          <w:p>
            <w:r>
              <w:t>Restriction behaves as for existing applicable channels</w:t>
            </w:r>
          </w:p>
        </w:tc>
      </w:tr>
    </w:tbl>
    <w:p>
      <w:pPr>
        <w:pStyle w:val="Heading2"/>
      </w:pPr>
      <w:r>
        <w:t>4. Product enablement</w:t>
      </w:r>
    </w:p>
    <w:p>
      <w:r>
        <w:t>All 14 products below are enabled for OGB; Plan Type (Traditional / ULIP) mapping to be confirmed by Product team.</w:t>
      </w:r>
    </w:p>
    <w:tbl>
      <w:tblPr>
        <w:tblStyle w:val="TableGrid"/>
        <w:tblW w:w="0" w:type="auto"/>
        <w:tblLayout w:type="fixed"/>
        <w:tblLook w:val="0420"/>
      </w:tblPr>
      <w:tblGrid>
        <w:gridCol w:w="3120"/>
        <w:gridCol w:w="3120"/>
        <w:gridCol w:w="3120"/>
      </w:tblGrid>
      <w:tr>
        <w:tblPrEx>
          <w:tblW w:w="0" w:type="auto"/>
          <w:tblLayout w:type="fixed"/>
          <w:tblLook w:val="0420"/>
        </w:tblPrEx>
        <w:trPr>
          <w:tblHeader/>
        </w:trPr>
        <w:tc>
          <w:tcPr>
            <w:tcW w:w="3120" w:type="dxa"/>
            <w:shd w:val="clear" w:color="auto" w:fill="F2F2F2"/>
          </w:tcPr>
          <w:p>
            <w:r>
              <w:t>#</w:t>
            </w:r>
          </w:p>
        </w:tc>
        <w:tc>
          <w:tcPr>
            <w:tcW w:w="3120" w:type="dxa"/>
            <w:shd w:val="clear" w:color="auto" w:fill="F2F2F2"/>
          </w:tcPr>
          <w:p>
            <w:r>
              <w:t>Product</w:t>
            </w:r>
          </w:p>
        </w:tc>
        <w:tc>
          <w:tcPr>
            <w:tcW w:w="3120" w:type="dxa"/>
            <w:shd w:val="clear" w:color="auto" w:fill="F2F2F2"/>
          </w:tcPr>
          <w:p>
            <w:r>
              <w:t>Plan Type</w:t>
            </w:r>
          </w:p>
        </w:tc>
      </w:tr>
      <w:tr>
        <w:tblPrEx>
          <w:tblW w:w="0" w:type="auto"/>
          <w:tblLayout w:type="fixed"/>
          <w:tblLook w:val="0420"/>
        </w:tblPrEx>
        <w:tc>
          <w:tcPr>
            <w:tcW w:w="3120" w:type="dxa"/>
          </w:tcPr>
          <w:p>
            <w:r>
              <w:t>1</w:t>
            </w:r>
          </w:p>
        </w:tc>
        <w:tc>
          <w:tcPr>
            <w:tcW w:w="3120" w:type="dxa"/>
          </w:tcPr>
          <w:p>
            <w:r>
              <w:t>HSBC Life Insurance Smart Guaranteed Pension</w:t>
            </w:r>
          </w:p>
        </w:tc>
        <w:tc>
          <w:tcPr>
            <w:tcW w:w="3120" w:type="dxa"/>
          </w:tcPr>
          <w:p>
            <w:r>
              <w:t>TBC</w:t>
            </w:r>
          </w:p>
        </w:tc>
      </w:tr>
      <w:tr>
        <w:tblPrEx>
          <w:tblW w:w="0" w:type="auto"/>
          <w:tblLayout w:type="fixed"/>
          <w:tblLook w:val="0420"/>
        </w:tblPrEx>
        <w:tc>
          <w:tcPr>
            <w:tcW w:w="3120" w:type="dxa"/>
          </w:tcPr>
          <w:p>
            <w:r>
              <w:t>2</w:t>
            </w:r>
          </w:p>
        </w:tc>
        <w:tc>
          <w:tcPr>
            <w:tcW w:w="3120" w:type="dxa"/>
          </w:tcPr>
          <w:p>
            <w:r>
              <w:t>HSBC Life Insurance Promise4Life</w:t>
            </w:r>
          </w:p>
        </w:tc>
        <w:tc>
          <w:tcPr>
            <w:tcW w:w="3120" w:type="dxa"/>
          </w:tcPr>
          <w:p>
            <w:r>
              <w:t>TBC</w:t>
            </w:r>
          </w:p>
        </w:tc>
      </w:tr>
      <w:tr>
        <w:tblPrEx>
          <w:tblW w:w="0" w:type="auto"/>
          <w:tblLayout w:type="fixed"/>
          <w:tblLook w:val="0420"/>
        </w:tblPrEx>
        <w:tc>
          <w:tcPr>
            <w:tcW w:w="3120" w:type="dxa"/>
          </w:tcPr>
          <w:p>
            <w:r>
              <w:t>3</w:t>
            </w:r>
          </w:p>
        </w:tc>
        <w:tc>
          <w:tcPr>
            <w:tcW w:w="3120" w:type="dxa"/>
          </w:tcPr>
          <w:p>
            <w:r>
              <w:t>HSBC Life Insurance Young Term Plan</w:t>
            </w:r>
          </w:p>
        </w:tc>
        <w:tc>
          <w:tcPr>
            <w:tcW w:w="3120" w:type="dxa"/>
          </w:tcPr>
          <w:p>
            <w:r>
              <w:t>TBC</w:t>
            </w:r>
          </w:p>
        </w:tc>
      </w:tr>
      <w:tr>
        <w:tblPrEx>
          <w:tblW w:w="0" w:type="auto"/>
          <w:tblLayout w:type="fixed"/>
          <w:tblLook w:val="0420"/>
        </w:tblPrEx>
        <w:tc>
          <w:tcPr>
            <w:tcW w:w="3120" w:type="dxa"/>
          </w:tcPr>
          <w:p>
            <w:r>
              <w:t>4</w:t>
            </w:r>
          </w:p>
        </w:tc>
        <w:tc>
          <w:tcPr>
            <w:tcW w:w="3120" w:type="dxa"/>
          </w:tcPr>
          <w:p>
            <w:r>
              <w:t>HSBC Life Insurance IGFP</w:t>
            </w:r>
          </w:p>
        </w:tc>
        <w:tc>
          <w:tcPr>
            <w:tcW w:w="3120" w:type="dxa"/>
          </w:tcPr>
          <w:p>
            <w:r>
              <w:t>TBC</w:t>
            </w:r>
          </w:p>
        </w:tc>
      </w:tr>
      <w:tr>
        <w:tblPrEx>
          <w:tblW w:w="0" w:type="auto"/>
          <w:tblLayout w:type="fixed"/>
          <w:tblLook w:val="0420"/>
        </w:tblPrEx>
        <w:tc>
          <w:tcPr>
            <w:tcW w:w="3120" w:type="dxa"/>
          </w:tcPr>
          <w:p>
            <w:r>
              <w:t>5</w:t>
            </w:r>
          </w:p>
        </w:tc>
        <w:tc>
          <w:tcPr>
            <w:tcW w:w="3120" w:type="dxa"/>
          </w:tcPr>
          <w:p>
            <w:r>
              <w:t>HSBC Life Insurance Guaranteed Fortune Plan</w:t>
            </w:r>
          </w:p>
        </w:tc>
        <w:tc>
          <w:tcPr>
            <w:tcW w:w="3120" w:type="dxa"/>
          </w:tcPr>
          <w:p>
            <w:r>
              <w:t>TBC</w:t>
            </w:r>
          </w:p>
        </w:tc>
      </w:tr>
      <w:tr>
        <w:tblPrEx>
          <w:tblW w:w="0" w:type="auto"/>
          <w:tblLayout w:type="fixed"/>
          <w:tblLook w:val="0420"/>
        </w:tblPrEx>
        <w:tc>
          <w:tcPr>
            <w:tcW w:w="3120" w:type="dxa"/>
          </w:tcPr>
          <w:p>
            <w:r>
              <w:t>6</w:t>
            </w:r>
          </w:p>
        </w:tc>
        <w:tc>
          <w:tcPr>
            <w:tcW w:w="3120" w:type="dxa"/>
          </w:tcPr>
          <w:p>
            <w:r>
              <w:t>HSBC Life Insurance Promise4Future</w:t>
            </w:r>
          </w:p>
        </w:tc>
        <w:tc>
          <w:tcPr>
            <w:tcW w:w="3120" w:type="dxa"/>
          </w:tcPr>
          <w:p>
            <w:r>
              <w:t>TBC</w:t>
            </w:r>
          </w:p>
        </w:tc>
      </w:tr>
      <w:tr>
        <w:tblPrEx>
          <w:tblW w:w="0" w:type="auto"/>
          <w:tblLayout w:type="fixed"/>
          <w:tblLook w:val="0420"/>
        </w:tblPrEx>
        <w:tc>
          <w:tcPr>
            <w:tcW w:w="3120" w:type="dxa"/>
          </w:tcPr>
          <w:p>
            <w:r>
              <w:t>7</w:t>
            </w:r>
          </w:p>
        </w:tc>
        <w:tc>
          <w:tcPr>
            <w:tcW w:w="3120" w:type="dxa"/>
          </w:tcPr>
          <w:p>
            <w:r>
              <w:t>HSBC Life Insurance IncomeNow Plan</w:t>
            </w:r>
          </w:p>
        </w:tc>
        <w:tc>
          <w:tcPr>
            <w:tcW w:w="3120" w:type="dxa"/>
          </w:tcPr>
          <w:p>
            <w:r>
              <w:t>TBC</w:t>
            </w:r>
          </w:p>
        </w:tc>
      </w:tr>
      <w:tr>
        <w:tblPrEx>
          <w:tblW w:w="0" w:type="auto"/>
          <w:tblLayout w:type="fixed"/>
          <w:tblLook w:val="0420"/>
        </w:tblPrEx>
        <w:tc>
          <w:tcPr>
            <w:tcW w:w="3120" w:type="dxa"/>
          </w:tcPr>
          <w:p>
            <w:r>
              <w:t>8</w:t>
            </w:r>
          </w:p>
        </w:tc>
        <w:tc>
          <w:tcPr>
            <w:tcW w:w="3120" w:type="dxa"/>
          </w:tcPr>
          <w:p>
            <w:r>
              <w:t>HSBC Guaranteed Assured Income</w:t>
            </w:r>
          </w:p>
        </w:tc>
        <w:tc>
          <w:tcPr>
            <w:tcW w:w="3120" w:type="dxa"/>
          </w:tcPr>
          <w:p>
            <w:r>
              <w:t>TBC</w:t>
            </w:r>
          </w:p>
        </w:tc>
      </w:tr>
      <w:tr>
        <w:tblPrEx>
          <w:tblW w:w="0" w:type="auto"/>
          <w:tblLayout w:type="fixed"/>
          <w:tblLook w:val="0420"/>
        </w:tblPrEx>
        <w:tc>
          <w:tcPr>
            <w:tcW w:w="3120" w:type="dxa"/>
          </w:tcPr>
          <w:p>
            <w:r>
              <w:t>9</w:t>
            </w:r>
          </w:p>
        </w:tc>
        <w:tc>
          <w:tcPr>
            <w:tcW w:w="3120" w:type="dxa"/>
          </w:tcPr>
          <w:p>
            <w:r>
              <w:t>HSBC Life Insurance iSelect Guaranteed Future</w:t>
            </w:r>
          </w:p>
        </w:tc>
        <w:tc>
          <w:tcPr>
            <w:tcW w:w="3120" w:type="dxa"/>
          </w:tcPr>
          <w:p>
            <w:r>
              <w:t>TBC</w:t>
            </w:r>
          </w:p>
        </w:tc>
      </w:tr>
      <w:tr>
        <w:tblPrEx>
          <w:tblW w:w="0" w:type="auto"/>
          <w:tblLayout w:type="fixed"/>
          <w:tblLook w:val="0420"/>
        </w:tblPrEx>
        <w:tc>
          <w:tcPr>
            <w:tcW w:w="3120" w:type="dxa"/>
          </w:tcPr>
          <w:p>
            <w:r>
              <w:t>10</w:t>
            </w:r>
          </w:p>
        </w:tc>
        <w:tc>
          <w:tcPr>
            <w:tcW w:w="3120" w:type="dxa"/>
          </w:tcPr>
          <w:p>
            <w:r>
              <w:t>HSBC Life Insurance iSelect Guaranteed Future Plus</w:t>
            </w:r>
          </w:p>
        </w:tc>
        <w:tc>
          <w:tcPr>
            <w:tcW w:w="3120" w:type="dxa"/>
          </w:tcPr>
          <w:p>
            <w:r>
              <w:t>TBC</w:t>
            </w:r>
          </w:p>
        </w:tc>
      </w:tr>
      <w:tr>
        <w:tblPrEx>
          <w:tblW w:w="0" w:type="auto"/>
          <w:tblLayout w:type="fixed"/>
          <w:tblLook w:val="0420"/>
        </w:tblPrEx>
        <w:tc>
          <w:tcPr>
            <w:tcW w:w="3120" w:type="dxa"/>
          </w:tcPr>
          <w:p>
            <w:r>
              <w:t>11</w:t>
            </w:r>
          </w:p>
        </w:tc>
        <w:tc>
          <w:tcPr>
            <w:tcW w:w="3120" w:type="dxa"/>
          </w:tcPr>
          <w:p>
            <w:r>
              <w:t>HSBC Life Insurance Pension4Life Plan</w:t>
            </w:r>
          </w:p>
        </w:tc>
        <w:tc>
          <w:tcPr>
            <w:tcW w:w="3120" w:type="dxa"/>
          </w:tcPr>
          <w:p>
            <w:r>
              <w:t>TBC</w:t>
            </w:r>
          </w:p>
        </w:tc>
      </w:tr>
      <w:tr>
        <w:tblPrEx>
          <w:tblW w:w="0" w:type="auto"/>
          <w:tblLayout w:type="fixed"/>
          <w:tblLook w:val="0420"/>
        </w:tblPrEx>
        <w:tc>
          <w:tcPr>
            <w:tcW w:w="3120" w:type="dxa"/>
          </w:tcPr>
          <w:p>
            <w:r>
              <w:t>12</w:t>
            </w:r>
          </w:p>
        </w:tc>
        <w:tc>
          <w:tcPr>
            <w:tcW w:w="3120" w:type="dxa"/>
          </w:tcPr>
          <w:p>
            <w:r>
              <w:t>HSBC Life Insurance POS – Guaranteed Fortune Plan</w:t>
            </w:r>
          </w:p>
        </w:tc>
        <w:tc>
          <w:tcPr>
            <w:tcW w:w="3120" w:type="dxa"/>
          </w:tcPr>
          <w:p>
            <w:r>
              <w:t>TBC</w:t>
            </w:r>
          </w:p>
        </w:tc>
      </w:tr>
      <w:tr>
        <w:tblPrEx>
          <w:tblW w:w="0" w:type="auto"/>
          <w:tblLayout w:type="fixed"/>
          <w:tblLook w:val="0420"/>
        </w:tblPrEx>
        <w:tc>
          <w:tcPr>
            <w:tcW w:w="3120" w:type="dxa"/>
          </w:tcPr>
          <w:p>
            <w:r>
              <w:t>13</w:t>
            </w:r>
          </w:p>
        </w:tc>
        <w:tc>
          <w:tcPr>
            <w:tcW w:w="3120" w:type="dxa"/>
          </w:tcPr>
          <w:p>
            <w:r>
              <w:t>HSBC Life Insurance Promise 2 Protect Plan</w:t>
            </w:r>
          </w:p>
        </w:tc>
        <w:tc>
          <w:tcPr>
            <w:tcW w:w="3120" w:type="dxa"/>
          </w:tcPr>
          <w:p>
            <w:r>
              <w:t>TBC</w:t>
            </w:r>
          </w:p>
        </w:tc>
      </w:tr>
      <w:tr>
        <w:tblPrEx>
          <w:tblW w:w="0" w:type="auto"/>
          <w:tblLayout w:type="fixed"/>
          <w:tblLook w:val="0420"/>
        </w:tblPrEx>
        <w:tc>
          <w:tcPr>
            <w:tcW w:w="3120" w:type="dxa"/>
          </w:tcPr>
          <w:p>
            <w:r>
              <w:t>14</w:t>
            </w:r>
          </w:p>
        </w:tc>
        <w:tc>
          <w:tcPr>
            <w:tcW w:w="3120" w:type="dxa"/>
          </w:tcPr>
          <w:p>
            <w:r>
              <w:t>HSBC iSelect Smart360 Term Plan</w:t>
            </w:r>
          </w:p>
        </w:tc>
        <w:tc>
          <w:tcPr>
            <w:tcW w:w="3120" w:type="dxa"/>
          </w:tcPr>
          <w:p>
            <w:r>
              <w:t>TBC</w:t>
            </w:r>
          </w:p>
        </w:tc>
      </w:tr>
    </w:tbl>
    <w:p>
      <w:pPr>
        <w:pStyle w:val="Heading2"/>
      </w:pPr>
      <w:r>
        <w:t>5. Master data and configuration</w:t>
      </w:r>
    </w:p>
    <w:p>
      <w:r>
        <w:t>Add one row to the AGSCH enumeration table for OGB.</w:t>
      </w:r>
    </w:p>
    <w:tbl>
      <w:tblPr>
        <w:tblStyle w:val="TableGrid"/>
        <w:tblW w:w="0" w:type="auto"/>
        <w:tblLayout w:type="fixed"/>
        <w:tblLook w:val="0420"/>
      </w:tblPr>
      <w:tblGrid>
        <w:gridCol w:w="2340"/>
        <w:gridCol w:w="2340"/>
        <w:gridCol w:w="2340"/>
        <w:gridCol w:w="2340"/>
      </w:tblGrid>
      <w:tr>
        <w:tblPrEx>
          <w:tblW w:w="0" w:type="auto"/>
          <w:tblLayout w:type="fixed"/>
          <w:tblLook w:val="0420"/>
        </w:tblPrEx>
        <w:trPr>
          <w:tblHeader/>
        </w:trPr>
        <w:tc>
          <w:tcPr>
            <w:tcW w:w="2340" w:type="dxa"/>
            <w:shd w:val="clear" w:color="auto" w:fill="F2F2F2"/>
          </w:tcPr>
          <w:p>
            <w:r>
              <w:t>ETBL_TYP_ID</w:t>
            </w:r>
          </w:p>
        </w:tc>
        <w:tc>
          <w:tcPr>
            <w:tcW w:w="2340" w:type="dxa"/>
            <w:shd w:val="clear" w:color="auto" w:fill="F2F2F2"/>
          </w:tcPr>
          <w:p>
            <w:r>
              <w:t>ETBL_VALU_ID</w:t>
            </w:r>
          </w:p>
        </w:tc>
        <w:tc>
          <w:tcPr>
            <w:tcW w:w="2340" w:type="dxa"/>
            <w:shd w:val="clear" w:color="auto" w:fill="F2F2F2"/>
          </w:tcPr>
          <w:p>
            <w:r>
              <w:t>ETBL_LANG_CD</w:t>
            </w:r>
          </w:p>
        </w:tc>
        <w:tc>
          <w:tcPr>
            <w:tcW w:w="2340" w:type="dxa"/>
            <w:shd w:val="clear" w:color="auto" w:fill="F2F2F2"/>
          </w:tcPr>
          <w:p>
            <w:r>
              <w:t>ETBL_DESC_TXT</w:t>
            </w:r>
          </w:p>
        </w:tc>
      </w:tr>
      <w:tr>
        <w:tblPrEx>
          <w:tblW w:w="0" w:type="auto"/>
          <w:tblLayout w:type="fixed"/>
          <w:tblLook w:val="0420"/>
        </w:tblPrEx>
        <w:tc>
          <w:tcPr>
            <w:tcW w:w="2340" w:type="dxa"/>
          </w:tcPr>
          <w:p>
            <w:r>
              <w:t>AGSCH</w:t>
            </w:r>
          </w:p>
        </w:tc>
        <w:tc>
          <w:tcPr>
            <w:tcW w:w="2340" w:type="dxa"/>
          </w:tcPr>
          <w:p>
            <w:r>
              <w:t>41</w:t>
            </w:r>
          </w:p>
        </w:tc>
        <w:tc>
          <w:tcPr>
            <w:tcW w:w="2340" w:type="dxa"/>
          </w:tcPr>
          <w:p>
            <w:r>
              <w:t>E</w:t>
            </w:r>
          </w:p>
        </w:tc>
        <w:tc>
          <w:tcPr>
            <w:tcW w:w="2340" w:type="dxa"/>
          </w:tcPr>
          <w:p>
            <w:r>
              <w:t>Odisha Gramin Bank (OGB)</w:t>
            </w:r>
          </w:p>
        </w:tc>
      </w:tr>
    </w:tbl>
    <w:p>
      <w:pPr>
        <w:pStyle w:val="ListParagraph"/>
        <w:numPr>
          <w:ilvl w:val="0"/>
          <w:numId w:val="4"/>
        </w:numPr>
      </w:pPr>
      <w:r>
        <w:t>Config to clone from TGB / existing RRB channel: payment-mode mapping, product-channel mapping, FNA recommendation mapping, VVC flags</w:t>
      </w:r>
    </w:p>
    <w:p>
      <w:pPr>
        <w:pStyle w:val="ListParagraph"/>
        <w:numPr>
          <w:ilvl w:val="0"/>
          <w:numId w:val="4"/>
        </w:numPr>
      </w:pPr>
      <w:r>
        <w:t>CMS bank partner code: value to be shared by Ingenium team</w:t>
      </w:r>
    </w:p>
    <w:p>
      <w:pPr>
        <w:pStyle w:val="ListParagraph"/>
        <w:numPr>
          <w:ilvl w:val="0"/>
          <w:numId w:val="4"/>
        </w:numPr>
      </w:pPr>
      <w:r>
        <w:t>Spelling to align: "Grameen" (requirement) vs "Gramin" (table description)</w:t>
      </w:r>
    </w:p>
    <w:p>
      <w:pPr>
        <w:pStyle w:val="Heading2"/>
      </w:pPr>
      <w:r>
        <w:t>6. Dependencies, open points and sign-off</w:t>
      </w:r>
    </w:p>
    <w:p>
      <w:r>
        <w:rPr>
          <w:b/>
        </w:rPr>
        <w:t>Dependencies</w:t>
      </w:r>
    </w:p>
    <w:p>
      <w:pPr>
        <w:pStyle w:val="ListParagraph"/>
        <w:numPr>
          <w:ilvl w:val="0"/>
          <w:numId w:val="5"/>
        </w:numPr>
      </w:pPr>
      <w:r>
        <w:t>Ingenium: CMS bank partner code creation and sync API</w:t>
      </w:r>
    </w:p>
    <w:p>
      <w:pPr>
        <w:pStyle w:val="ListParagraph"/>
        <w:numPr>
          <w:ilvl w:val="0"/>
          <w:numId w:val="5"/>
        </w:numPr>
      </w:pPr>
      <w:r>
        <w:t>CR 43923 (VVC submission restriction) live in production</w:t>
      </w:r>
    </w:p>
    <w:p>
      <w:pPr>
        <w:pStyle w:val="ListParagraph"/>
        <w:numPr>
          <w:ilvl w:val="0"/>
          <w:numId w:val="5"/>
        </w:numPr>
      </w:pPr>
      <w:r>
        <w:t>ISNP channel master update aligned with inSURE release</w:t>
      </w:r>
    </w:p>
    <w:p>
      <w:r>
        <w:rPr>
          <w:b/>
        </w:rPr>
        <w:t>Open points</w:t>
      </w:r>
    </w:p>
    <w:p>
      <w:pPr>
        <w:pStyle w:val="ListParagraph"/>
        <w:numPr>
          <w:ilvl w:val="0"/>
          <w:numId w:val="6"/>
        </w:numPr>
      </w:pPr>
      <w:r>
        <w:t>☐ Confirm full CR number and ISNP-specific changes (if any beyond channel master)</w:t>
      </w:r>
    </w:p>
    <w:p>
      <w:pPr>
        <w:pStyle w:val="ListParagraph"/>
        <w:numPr>
          <w:ilvl w:val="0"/>
          <w:numId w:val="6"/>
        </w:numPr>
      </w:pPr>
      <w:r>
        <w:t>☐ Confirm Plan Type (Traditional / ULIP) for each product</w:t>
      </w:r>
    </w:p>
    <w:p>
      <w:pPr>
        <w:pStyle w:val="ListParagraph"/>
        <w:numPr>
          <w:ilvl w:val="0"/>
          <w:numId w:val="6"/>
        </w:numPr>
      </w:pPr>
      <w:r>
        <w:t>☐ Share OGB CMS bank code and payment-option mapping</w:t>
      </w:r>
    </w:p>
    <w:p>
      <w:pPr>
        <w:pStyle w:val="ListParagraph"/>
        <w:numPr>
          <w:ilvl w:val="0"/>
          <w:numId w:val="6"/>
        </w:numPr>
      </w:pPr>
      <w:r>
        <w:t>☐ Confirm "Grameen" vs "Gramin" spelling for display and masters</w:t>
      </w:r>
    </w:p>
    <w:p>
      <w:pPr>
        <w:pStyle w:val="ListParagraph"/>
        <w:numPr>
          <w:ilvl w:val="0"/>
          <w:numId w:val="6"/>
        </w:numPr>
      </w:pPr>
      <w:r>
        <w:t>☐ Confirm user/branch mapping and login creation for OGB staff</w:t>
      </w:r>
    </w:p>
    <w:p>
      <w:r>
        <w:rPr>
          <w:b/>
        </w:rPr>
        <w:t>UAT scenarios</w:t>
      </w:r>
    </w:p>
    <w:p>
      <w:pPr>
        <w:pStyle w:val="ListParagraph"/>
        <w:numPr>
          <w:ilvl w:val="0"/>
          <w:numId w:val="7"/>
        </w:numPr>
      </w:pPr>
      <w:r>
        <w:t>Login as OGB user; channel shows "OGB"</w:t>
      </w:r>
    </w:p>
    <w:p>
      <w:pPr>
        <w:pStyle w:val="ListParagraph"/>
        <w:numPr>
          <w:ilvl w:val="0"/>
          <w:numId w:val="7"/>
        </w:numPr>
      </w:pPr>
      <w:r>
        <w:t>FNA: only listed products recommended per Plan Type</w:t>
      </w:r>
    </w:p>
    <w:p>
      <w:pPr>
        <w:pStyle w:val="ListParagraph"/>
        <w:numPr>
          <w:ilvl w:val="0"/>
          <w:numId w:val="7"/>
        </w:numPr>
      </w:pPr>
      <w:r>
        <w:t>Payment page shows only Cheque Post RFI, UPI 2.0, Payment Post RFI</w:t>
      </w:r>
    </w:p>
    <w:p>
      <w:pPr>
        <w:pStyle w:val="ListParagraph"/>
        <w:numPr>
          <w:ilvl w:val="0"/>
          <w:numId w:val="7"/>
        </w:numPr>
      </w:pPr>
      <w:r>
        <w:t>Receipt in Ingenium carries OGB CMS bank code</w:t>
      </w:r>
    </w:p>
    <w:p>
      <w:pPr>
        <w:pStyle w:val="ListParagraph"/>
        <w:numPr>
          <w:ilvl w:val="0"/>
          <w:numId w:val="7"/>
        </w:numPr>
      </w:pPr>
      <w:r>
        <w:t>Monthly frequency case follows RRB minimum premium rule</w:t>
      </w:r>
    </w:p>
    <w:p>
      <w:pPr>
        <w:pStyle w:val="ListParagraph"/>
        <w:numPr>
          <w:ilvl w:val="0"/>
          <w:numId w:val="7"/>
        </w:numPr>
      </w:pPr>
      <w:r>
        <w:t>Submission blocked without VVC; Start call and Share link both work</w:t>
      </w:r>
    </w:p>
    <w:p>
      <w:pPr>
        <w:pStyle w:val="ListParagraph"/>
        <w:numPr>
          <w:ilvl w:val="0"/>
          <w:numId w:val="7"/>
        </w:numPr>
      </w:pPr>
      <w:r>
        <w:t>Proposal PDF shows "OGB"</w:t>
      </w:r>
    </w:p>
    <w:p>
      <w:r>
        <w:rPr>
          <w:b/>
        </w:rPr>
        <w:t>Sign-off</w:t>
      </w:r>
    </w:p>
    <w:tbl>
      <w:tblPr>
        <w:tblStyle w:val="TableGrid"/>
        <w:tblW w:w="0" w:type="auto"/>
        <w:tblLayout w:type="fixed"/>
        <w:tblLook w:val="0420"/>
      </w:tblPr>
      <w:tblGrid>
        <w:gridCol w:w="3120"/>
        <w:gridCol w:w="3120"/>
        <w:gridCol w:w="3120"/>
      </w:tblGrid>
      <w:tr>
        <w:tblPrEx>
          <w:tblW w:w="0" w:type="auto"/>
          <w:tblLayout w:type="fixed"/>
          <w:tblLook w:val="0420"/>
        </w:tblPrEx>
        <w:trPr>
          <w:tblHeader/>
        </w:trPr>
        <w:tc>
          <w:tcPr>
            <w:tcW w:w="3120" w:type="dxa"/>
            <w:shd w:val="clear" w:color="auto" w:fill="F2F2F2"/>
          </w:tcPr>
          <w:p>
            <w:r>
              <w:t>Role</w:t>
            </w:r>
          </w:p>
        </w:tc>
        <w:tc>
          <w:tcPr>
            <w:tcW w:w="3120" w:type="dxa"/>
            <w:shd w:val="clear" w:color="auto" w:fill="F2F2F2"/>
          </w:tcPr>
          <w:p>
            <w:r>
              <w:t>Name</w:t>
            </w:r>
          </w:p>
        </w:tc>
        <w:tc>
          <w:tcPr>
            <w:tcW w:w="3120" w:type="dxa"/>
            <w:shd w:val="clear" w:color="auto" w:fill="F2F2F2"/>
          </w:tcPr>
          <w:p>
            <w:r>
              <w:t>Date</w:t>
            </w:r>
          </w:p>
        </w:tc>
      </w:tr>
      <w:tr>
        <w:tblPrEx>
          <w:tblW w:w="0" w:type="auto"/>
          <w:tblLayout w:type="fixed"/>
          <w:tblLook w:val="0420"/>
        </w:tblPrEx>
        <w:tc>
          <w:tcPr>
            <w:tcW w:w="3120" w:type="dxa"/>
          </w:tcPr>
          <w:p>
            <w:r>
              <w:t>Business owner</w:t>
            </w:r>
          </w:p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>
        <w:tblPrEx>
          <w:tblW w:w="0" w:type="auto"/>
          <w:tblLayout w:type="fixed"/>
          <w:tblLook w:val="0420"/>
        </w:tblPrEx>
        <w:tc>
          <w:tcPr>
            <w:tcW w:w="3120" w:type="dxa"/>
          </w:tcPr>
          <w:p>
            <w:r>
              <w:t>Project Manager</w:t>
            </w:r>
          </w:p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>
        <w:tblPrEx>
          <w:tblW w:w="0" w:type="auto"/>
          <w:tblLayout w:type="fixed"/>
          <w:tblLook w:val="0420"/>
        </w:tblPrEx>
        <w:tc>
          <w:tcPr>
            <w:tcW w:w="3120" w:type="dxa"/>
          </w:tcPr>
          <w:p>
            <w:r>
              <w:t>IT / Development lead</w:t>
            </w:r>
          </w:p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>
        <w:tblPrEx>
          <w:tblW w:w="0" w:type="auto"/>
          <w:tblLayout w:type="fixed"/>
          <w:tblLook w:val="0420"/>
        </w:tblPrEx>
        <w:tc>
          <w:tcPr>
            <w:tcW w:w="3120" w:type="dxa"/>
          </w:tcPr>
          <w:p>
            <w:r>
              <w:t>QA lead</w:t>
            </w:r>
          </w:p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</w:tbl>
    <w:p/>
    <w:sectPr>
      <w:headerReference w:type="default" r:id="rId4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49" type="#_x0000_t136" style="width:46.18pt;height:9.94pt;margin-top:747.06pt;margin-left:282.91pt;mso-position-horizontal-relative:page;mso-position-vertical-relative:page;position:absolute;z-index:251658240" fillcolor="#1a73e8" stroked="f">
          <v:fill opacity="45875f"/>
          <v:path strokeok="f"/>
          <v:textpath style="font-family:Arial;v-text-align:left" string="Confidential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082D756"/>
    <w:multiLevelType w:val="hybridMultilevel"/>
    <w:tmpl w:val="0000000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nsid w:val="7E605C68"/>
    <w:multiLevelType w:val="hybrid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FRD – New Channel Enablement Odisha Grameen Bank (OGB) in ISNP &amp; INSURE2.0</dc:title>
  <dc:description>Claude Docs node/8aab126c-b492@7 docx-w6</dc:description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SARadarClassification">
    <vt:lpwstr>Confidential</vt:lpwstr>
  </property>
  <property fmtid="{D5CDD505-2E9C-101B-9397-08002B2CF9AE}" pid="3" name="SISARadarPurpose">
    <vt:lpwstr/>
  </property>
</Properties>
</file>